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1E51B">
      <w:pPr>
        <w:pStyle w:val="27"/>
        <w:spacing w:after="100"/>
        <w:outlineLvl w:val="0"/>
      </w:pPr>
      <w:bookmarkStart w:id="0" w:name="_Toc19909"/>
    </w:p>
    <w:p w14:paraId="031C74A6">
      <w:pPr>
        <w:pStyle w:val="27"/>
        <w:spacing w:after="100"/>
        <w:outlineLvl w:val="0"/>
      </w:pPr>
    </w:p>
    <w:p w14:paraId="07E6E530">
      <w:pPr>
        <w:pStyle w:val="27"/>
        <w:spacing w:after="100"/>
        <w:outlineLvl w:val="0"/>
      </w:pPr>
      <w:r>
        <w:t>内蒙古交通物资有限责任公司</w:t>
      </w:r>
      <w:bookmarkEnd w:id="0"/>
    </w:p>
    <w:p w14:paraId="39FA54E0">
      <w:pPr>
        <w:pStyle w:val="27"/>
        <w:spacing w:after="100"/>
        <w:outlineLvl w:val="0"/>
      </w:pPr>
      <w:bookmarkStart w:id="1" w:name="_Toc19515"/>
      <w:r>
        <w:t>合规管理体系有效性评价</w:t>
      </w:r>
      <w:bookmarkEnd w:id="1"/>
    </w:p>
    <w:p w14:paraId="156844C7">
      <w:pPr>
        <w:pStyle w:val="27"/>
        <w:spacing w:after="100"/>
        <w:outlineLvl w:val="0"/>
      </w:pPr>
      <w:bookmarkStart w:id="2" w:name="_Toc15373"/>
      <w:r>
        <w:t>采购文件
</w:t>
      </w:r>
      <w:bookmarkEnd w:id="2"/>
    </w:p>
    <w:p w14:paraId="53C7E877"/>
    <w:p w14:paraId="558CE13A"/>
    <w:p w14:paraId="73A8570B"/>
    <w:p w14:paraId="400BA260"/>
    <w:p w14:paraId="1734F602"/>
    <w:p w14:paraId="08AA14CC"/>
    <w:p w14:paraId="7D29F416"/>
    <w:p w14:paraId="173C3C39"/>
    <w:p w14:paraId="332D5B32"/>
    <w:p w14:paraId="66DA868F"/>
    <w:p w14:paraId="75875B50"/>
    <w:p w14:paraId="7812347C"/>
    <w:p w14:paraId="7AB02EE8"/>
    <w:p w14:paraId="6D47CBD9"/>
    <w:p w14:paraId="53A3A6D4"/>
    <w:p w14:paraId="22FD8EE7"/>
    <w:p w14:paraId="6063938A"/>
    <w:p w14:paraId="0ABEDB86"/>
    <w:p w14:paraId="4394CEDD"/>
    <w:p w14:paraId="2A25008A"/>
    <w:p w14:paraId="2942CA24"/>
    <w:p w14:paraId="27182A5B"/>
    <w:p w14:paraId="6F635628"/>
    <w:p w14:paraId="4F7D5EEB"/>
    <w:p w14:paraId="4AA9FF49"/>
    <w:p w14:paraId="73EBF11E"/>
    <w:p w14:paraId="452495C3"/>
    <w:p w14:paraId="1AED2C64"/>
    <w:p w14:paraId="42AF79A8"/>
    <w:p w14:paraId="52EDB938"/>
    <w:p w14:paraId="74DB96A2"/>
    <w:p w14:paraId="3238CE20"/>
    <w:p w14:paraId="2FBC0B61"/>
    <w:p w14:paraId="52062483"/>
    <w:p w14:paraId="5E5B92DA"/>
    <w:p w14:paraId="56C89074"/>
    <w:p w14:paraId="42DCF938">
      <w:pPr>
        <w:jc w:val="center"/>
        <w:rPr>
          <w:rFonts w:hint="eastAsia" w:ascii="Times New Roman" w:hAnsi="Times New Roman" w:eastAsia="黑体" w:cs="Times New Roman"/>
          <w:kern w:val="2"/>
          <w:sz w:val="44"/>
          <w:szCs w:val="44"/>
          <w:lang w:val="en-US" w:eastAsia="zh-CN" w:bidi="ar-SA"/>
        </w:rPr>
      </w:pPr>
      <w:r>
        <w:rPr>
          <w:rFonts w:hint="eastAsia" w:ascii="Times New Roman" w:hAnsi="Times New Roman" w:eastAsia="黑体" w:cs="Times New Roman"/>
          <w:kern w:val="2"/>
          <w:sz w:val="44"/>
          <w:szCs w:val="44"/>
          <w:lang w:val="en-US" w:eastAsia="zh-CN" w:bidi="ar-SA"/>
        </w:rPr>
        <w:t>内蒙古交通物资有限责任公司</w:t>
      </w:r>
    </w:p>
    <w:p w14:paraId="39BC4717">
      <w:pPr>
        <w:jc w:val="center"/>
        <w:rPr>
          <w:rFonts w:hint="default" w:ascii="Times New Roman" w:hAnsi="Times New Roman" w:eastAsia="黑体" w:cs="Times New Roman"/>
          <w:kern w:val="2"/>
          <w:sz w:val="52"/>
          <w:szCs w:val="52"/>
          <w:lang w:val="en-US" w:eastAsia="zh-CN" w:bidi="ar-SA"/>
        </w:rPr>
      </w:pPr>
      <w:r>
        <w:rPr>
          <w:rFonts w:hint="eastAsia" w:ascii="Times New Roman" w:hAnsi="Times New Roman" w:eastAsia="黑体" w:cs="Times New Roman"/>
          <w:kern w:val="2"/>
          <w:sz w:val="44"/>
          <w:szCs w:val="44"/>
          <w:lang w:val="en-US" w:eastAsia="zh-CN" w:bidi="ar-SA"/>
        </w:rPr>
        <w:t>2025年6月</w:t>
      </w:r>
    </w:p>
    <w:p w14:paraId="0060290E">
      <w:pPr>
        <w:spacing w:beforeLines="0" w:afterLines="0"/>
        <w:jc w:val="center"/>
        <w:rPr>
          <w:rFonts w:ascii="Times New Roman" w:hAnsi="Times New Roman" w:eastAsia="宋体" w:cs="Times New Roman"/>
          <w:sz w:val="21"/>
          <w:szCs w:val="22"/>
        </w:rPr>
        <w:sectPr>
          <w:pgSz w:w="11906" w:h="16838"/>
          <w:pgMar w:top="1440" w:right="1440" w:bottom="1440" w:left="1440" w:header="708" w:footer="708" w:gutter="0"/>
          <w:cols w:space="720" w:num="1"/>
          <w:docGrid w:linePitch="360" w:charSpace="0"/>
        </w:sectPr>
      </w:pPr>
    </w:p>
    <w:p w14:paraId="77D9AD2A">
      <w:pPr>
        <w:rPr>
          <w:rFonts w:ascii="Times New Roman" w:hAnsi="Times New Roman" w:eastAsia="宋体" w:cs="Times New Roman"/>
          <w:sz w:val="21"/>
          <w:szCs w:val="22"/>
        </w:rPr>
      </w:pPr>
    </w:p>
    <w:p w14:paraId="526B8777">
      <w:pPr>
        <w:pStyle w:val="2"/>
        <w:widowControl/>
        <w:numPr>
          <w:ilvl w:val="0"/>
          <w:numId w:val="0"/>
        </w:numPr>
        <w:ind w:left="0" w:leftChars="0" w:firstLine="0" w:firstLineChars="0"/>
        <w:jc w:val="center"/>
        <w:rPr>
          <w:b w:val="0"/>
        </w:rPr>
      </w:pPr>
      <w:bookmarkStart w:id="3" w:name="_Toc19436"/>
      <w:r>
        <w:rPr>
          <w:rFonts w:hint="eastAsia" w:ascii="Times New Roman" w:hAnsi="Times New Roman" w:eastAsia="黑体" w:cs="Times New Roman"/>
          <w:b w:val="0"/>
          <w:color w:val="000000"/>
          <w:kern w:val="44"/>
          <w:sz w:val="32"/>
          <w:szCs w:val="44"/>
          <w:lang w:bidi="ar-SA"/>
        </w:rPr>
        <w:t>第一章</w:t>
      </w:r>
      <w:r>
        <w:t>投标须知
</w:t>
      </w:r>
      <w:bookmarkEnd w:id="3"/>
    </w:p>
    <w:p w14:paraId="07B4B4D5">
      <w:pPr>
        <w:pStyle w:val="3"/>
        <w:widowControl/>
        <w:numPr>
          <w:ilvl w:val="0"/>
          <w:numId w:val="0"/>
        </w:numPr>
        <w:topLinePunct w:val="0"/>
        <w:spacing w:line="560" w:lineRule="exact"/>
        <w:ind w:left="0" w:leftChars="0" w:firstLine="600" w:firstLineChars="200"/>
        <w:outlineLvl w:val="0"/>
        <w:rPr>
          <w:rFonts w:hint="eastAsia" w:ascii="黑体" w:hAnsi="黑体" w:eastAsia="黑体" w:cs="黑体"/>
          <w:b w:val="0"/>
        </w:rPr>
      </w:pPr>
      <w:bookmarkStart w:id="4" w:name="_Toc23420"/>
      <w:r>
        <w:rPr>
          <w:rFonts w:hint="eastAsia" w:ascii="黑体" w:hAnsi="黑体" w:eastAsia="黑体" w:cs="黑体"/>
          <w:b w:val="0"/>
          <w:kern w:val="2"/>
          <w:sz w:val="30"/>
          <w:szCs w:val="32"/>
          <w:lang w:bidi="ar-SA"/>
        </w:rPr>
        <w:t>一、</w:t>
      </w:r>
      <w:r>
        <w:t>总则
</w:t>
      </w:r>
      <w:bookmarkEnd w:id="4"/>
    </w:p>
    <w:p w14:paraId="5F39DECB">
      <w:pPr>
        <w:pStyle w:val="4"/>
        <w:pageBreakBefore w:val="0"/>
        <w:widowControl/>
        <w:kinsoku/>
        <w:overflowPunct/>
        <w:topLinePunct w:val="0"/>
        <w:autoSpaceDE/>
        <w:autoSpaceDN/>
        <w:bidi w:val="0"/>
        <w:spacing w:line="560" w:lineRule="exact"/>
        <w:ind w:firstLine="600" w:firstLineChars="200"/>
        <w:textAlignment w:val="auto"/>
        <w:outlineLvl w:val="1"/>
      </w:pPr>
      <w:bookmarkStart w:id="5" w:name="_Toc6063"/>
      <w:r>
        <w:rPr>
          <w:rFonts w:hint="eastAsia"/>
          <w:lang w:eastAsia="zh-CN"/>
        </w:rPr>
        <w:t>（</w:t>
      </w:r>
      <w:r>
        <w:rPr>
          <w:rFonts w:hint="eastAsia"/>
          <w:lang w:val="en-US" w:eastAsia="zh-CN"/>
        </w:rPr>
        <w:t>一</w:t>
      </w:r>
      <w:r>
        <w:rPr>
          <w:rFonts w:hint="eastAsia"/>
          <w:lang w:eastAsia="zh-CN"/>
        </w:rPr>
        <w:t>）</w:t>
      </w:r>
      <w:r>
        <w:t>项目概况</w:t>
      </w:r>
      <w:bookmarkEnd w:id="5"/>
    </w:p>
    <w:p w14:paraId="0B856532">
      <w:pPr>
        <w:pStyle w:val="11"/>
        <w:pageBreakBefore w:val="0"/>
        <w:widowControl/>
        <w:numPr>
          <w:ilvl w:val="0"/>
          <w:numId w:val="1"/>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项目名称：内蒙古交通物资有限责任公司合规管理体系有效性评价项目
</w:t>
      </w:r>
    </w:p>
    <w:p w14:paraId="7DC4CF20">
      <w:pPr>
        <w:pStyle w:val="11"/>
        <w:pageBreakBefore w:val="0"/>
        <w:widowControl/>
        <w:numPr>
          <w:ilvl w:val="0"/>
          <w:numId w:val="1"/>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项目批准单位：内蒙古交通物资有限责任公司
</w:t>
      </w:r>
    </w:p>
    <w:p w14:paraId="375F3772">
      <w:pPr>
        <w:pStyle w:val="11"/>
        <w:pageBreakBefore w:val="0"/>
        <w:widowControl/>
        <w:numPr>
          <w:ilvl w:val="0"/>
          <w:numId w:val="1"/>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资金来源：</w:t>
      </w:r>
      <w:r>
        <w:rPr>
          <w:rFonts w:hint="eastAsia"/>
          <w:lang w:eastAsia="zh-CN"/>
        </w:rPr>
        <w:t>自有</w:t>
      </w:r>
      <w:r>
        <w:t>资金，资金已落实。
</w:t>
      </w:r>
    </w:p>
    <w:p w14:paraId="0A9A638C">
      <w:pPr>
        <w:pStyle w:val="11"/>
        <w:pageBreakBefore w:val="0"/>
        <w:widowControl/>
        <w:numPr>
          <w:ilvl w:val="0"/>
          <w:numId w:val="1"/>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采购人：内蒙古交通物资有限责任公司，负责本次采购的组织与实施。
</w:t>
      </w:r>
    </w:p>
    <w:p w14:paraId="7F117C46">
      <w:pPr>
        <w:pStyle w:val="4"/>
        <w:pageBreakBefore w:val="0"/>
        <w:widowControl/>
        <w:kinsoku/>
        <w:overflowPunct/>
        <w:topLinePunct w:val="0"/>
        <w:autoSpaceDE/>
        <w:autoSpaceDN/>
        <w:bidi w:val="0"/>
        <w:spacing w:line="560" w:lineRule="exact"/>
        <w:ind w:firstLine="600" w:firstLineChars="200"/>
        <w:textAlignment w:val="auto"/>
        <w:outlineLvl w:val="1"/>
      </w:pPr>
      <w:bookmarkStart w:id="6" w:name="_Toc26912"/>
      <w:r>
        <w:rPr>
          <w:rFonts w:hint="eastAsia"/>
          <w:lang w:eastAsia="zh-CN"/>
        </w:rPr>
        <w:t>（</w:t>
      </w:r>
      <w:r>
        <w:rPr>
          <w:rFonts w:hint="eastAsia"/>
          <w:lang w:val="en-US" w:eastAsia="zh-CN"/>
        </w:rPr>
        <w:t>二</w:t>
      </w:r>
      <w:r>
        <w:rPr>
          <w:rFonts w:hint="eastAsia"/>
          <w:lang w:eastAsia="zh-CN"/>
        </w:rPr>
        <w:t>）</w:t>
      </w:r>
      <w:r>
        <w:t>采购范围及要求</w:t>
      </w:r>
      <w:bookmarkEnd w:id="6"/>
    </w:p>
    <w:p w14:paraId="6749B706">
      <w:pPr>
        <w:pStyle w:val="11"/>
        <w:pageBreakBefore w:val="0"/>
        <w:widowControl/>
        <w:numPr>
          <w:ilvl w:val="0"/>
          <w:numId w:val="2"/>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对公司合规管理体系进行全面评价，包括制度建设、组织体系、机制运行、管理保障、违规问责等方面（具体内容详见采购公告第二章） 。
</w:t>
      </w:r>
    </w:p>
    <w:p w14:paraId="31AED661">
      <w:pPr>
        <w:pStyle w:val="11"/>
        <w:pageBreakBefore w:val="0"/>
        <w:widowControl/>
        <w:numPr>
          <w:ilvl w:val="0"/>
          <w:numId w:val="2"/>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服务周期：自合同签订之日起</w:t>
      </w:r>
      <w:r>
        <w:rPr>
          <w:rFonts w:hint="eastAsia"/>
          <w:lang w:val="en-US" w:eastAsia="zh-CN"/>
        </w:rPr>
        <w:t>15个工作日</w:t>
      </w:r>
      <w:r>
        <w:t>内完成全部评价工作，并提交正式评价报告。
</w:t>
      </w:r>
    </w:p>
    <w:p w14:paraId="6D69792F">
      <w:pPr>
        <w:pStyle w:val="11"/>
        <w:pageBreakBefore w:val="0"/>
        <w:widowControl/>
        <w:numPr>
          <w:ilvl w:val="0"/>
          <w:numId w:val="2"/>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服务地点：内蒙古交通物资有限责任公司指定地点。
</w:t>
      </w:r>
    </w:p>
    <w:p w14:paraId="09D99A03">
      <w:pPr>
        <w:pStyle w:val="11"/>
        <w:pageBreakBefore w:val="0"/>
        <w:widowControl/>
        <w:numPr>
          <w:ilvl w:val="0"/>
          <w:numId w:val="2"/>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服务质量标准：遵循国家相关法律法规、行业标准以及企业内部管理要求，评价报告需真实、准确、全面，优化建议具备针对性和可操作性。
</w:t>
      </w:r>
    </w:p>
    <w:p w14:paraId="1BA65D79">
      <w:pPr>
        <w:pStyle w:val="4"/>
        <w:pageBreakBefore w:val="0"/>
        <w:widowControl/>
        <w:kinsoku/>
        <w:overflowPunct/>
        <w:topLinePunct w:val="0"/>
        <w:autoSpaceDE/>
        <w:autoSpaceDN/>
        <w:bidi w:val="0"/>
        <w:spacing w:line="560" w:lineRule="exact"/>
        <w:ind w:firstLine="600" w:firstLineChars="200"/>
        <w:textAlignment w:val="auto"/>
        <w:outlineLvl w:val="1"/>
      </w:pPr>
      <w:bookmarkStart w:id="7" w:name="_Toc20127"/>
      <w:r>
        <w:rPr>
          <w:rFonts w:hint="eastAsia"/>
          <w:lang w:eastAsia="zh-CN"/>
        </w:rPr>
        <w:t>（</w:t>
      </w:r>
      <w:r>
        <w:rPr>
          <w:rFonts w:hint="eastAsia"/>
          <w:lang w:val="en-US" w:eastAsia="zh-CN"/>
        </w:rPr>
        <w:t>三</w:t>
      </w:r>
      <w:r>
        <w:rPr>
          <w:rFonts w:hint="eastAsia"/>
          <w:lang w:eastAsia="zh-CN"/>
        </w:rPr>
        <w:t>）</w:t>
      </w:r>
      <w:r>
        <w:t>合格的律师事务所</w:t>
      </w:r>
      <w:bookmarkEnd w:id="7"/>
    </w:p>
    <w:p w14:paraId="0D2BC225">
      <w:pPr>
        <w:pStyle w:val="11"/>
        <w:pageBreakBefore w:val="0"/>
        <w:widowControl/>
        <w:numPr>
          <w:ilvl w:val="0"/>
          <w:numId w:val="3"/>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律师事务所须为中华人民共和国境内依法设立，具备独立承担民事责任能力，持有司法行政机关颁发且在有效期内的《律师事务所执业许可证》或《律师事务所分所执业许可证》，最近一个年度年检合格。
</w:t>
      </w:r>
    </w:p>
    <w:p w14:paraId="481A941B">
      <w:pPr>
        <w:pStyle w:val="11"/>
        <w:pageBreakBefore w:val="0"/>
        <w:widowControl/>
        <w:numPr>
          <w:ilvl w:val="0"/>
          <w:numId w:val="3"/>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具有良好商业信誉和健全财务会计制度，能提供近一年财务审计报告或银行资信证明。
</w:t>
      </w:r>
    </w:p>
    <w:p w14:paraId="085A24CF">
      <w:pPr>
        <w:pStyle w:val="11"/>
        <w:pageBreakBefore w:val="0"/>
        <w:widowControl/>
        <w:numPr>
          <w:ilvl w:val="0"/>
          <w:numId w:val="3"/>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项目负责人须具有《律师执业资格证》，并提供响应文件递交截至日期前 6 个月内任意一次社会保险缴纳证明。
</w:t>
      </w:r>
    </w:p>
    <w:p w14:paraId="60C9EBAC">
      <w:pPr>
        <w:pStyle w:val="11"/>
        <w:pageBreakBefore w:val="0"/>
        <w:widowControl/>
        <w:numPr>
          <w:ilvl w:val="0"/>
          <w:numId w:val="3"/>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律师事务所近年（响应截止时间前三年内）具有 2 项国有企业合规管理体系建设相关咨询业绩，业绩证明材料为合同扫描件或复印件（须包含合同双方盖章页、合同签订日期、承包内容及业绩要求关键信息等）。
</w:t>
      </w:r>
    </w:p>
    <w:p w14:paraId="60EC610B">
      <w:pPr>
        <w:pStyle w:val="11"/>
        <w:pageBreakBefore w:val="0"/>
        <w:widowControl/>
        <w:numPr>
          <w:ilvl w:val="0"/>
          <w:numId w:val="3"/>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律师事务所未被列入 “国家企业信用信息公示系统” 严重违法失信名单（黑名单）、“信用中国” 严重失信记录，律师事务所及拟派项目负责人在 “全国律师执业诚信信息公示平台” 无惩戒记录，无法查询相关信息的需提供信誉承诺书。
</w:t>
      </w:r>
    </w:p>
    <w:p w14:paraId="2DC6567E">
      <w:pPr>
        <w:pStyle w:val="11"/>
        <w:pageBreakBefore w:val="0"/>
        <w:widowControl/>
        <w:numPr>
          <w:ilvl w:val="0"/>
          <w:numId w:val="3"/>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本项目不接受联合体投标。
</w:t>
      </w:r>
    </w:p>
    <w:p w14:paraId="6FC64D48">
      <w:pPr>
        <w:pStyle w:val="3"/>
        <w:widowControl/>
        <w:numPr>
          <w:ilvl w:val="0"/>
          <w:numId w:val="0"/>
        </w:numPr>
        <w:topLinePunct w:val="0"/>
        <w:spacing w:line="560" w:lineRule="exact"/>
        <w:ind w:left="0" w:leftChars="0" w:firstLine="600" w:firstLineChars="200"/>
        <w:outlineLvl w:val="0"/>
        <w:rPr>
          <w:rFonts w:hint="eastAsia" w:ascii="黑体" w:hAnsi="黑体" w:eastAsia="黑体" w:cs="黑体"/>
          <w:b w:val="0"/>
        </w:rPr>
      </w:pPr>
      <w:bookmarkStart w:id="8" w:name="_Toc3294"/>
      <w:r>
        <w:rPr>
          <w:rFonts w:hint="eastAsia" w:ascii="黑体" w:hAnsi="黑体" w:eastAsia="黑体" w:cs="黑体"/>
          <w:b w:val="0"/>
          <w:kern w:val="2"/>
          <w:sz w:val="30"/>
          <w:szCs w:val="32"/>
          <w:lang w:bidi="ar-SA"/>
        </w:rPr>
        <w:t>二、</w:t>
      </w:r>
      <w:r>
        <w:t>采购文件
</w:t>
      </w:r>
      <w:bookmarkEnd w:id="8"/>
    </w:p>
    <w:p w14:paraId="4B5589D1">
      <w:pPr>
        <w:pStyle w:val="4"/>
        <w:pageBreakBefore w:val="0"/>
        <w:widowControl/>
        <w:kinsoku/>
        <w:overflowPunct/>
        <w:topLinePunct w:val="0"/>
        <w:autoSpaceDE/>
        <w:autoSpaceDN/>
        <w:bidi w:val="0"/>
        <w:spacing w:line="560" w:lineRule="exact"/>
        <w:ind w:firstLine="600" w:firstLineChars="200"/>
        <w:textAlignment w:val="auto"/>
        <w:outlineLvl w:val="1"/>
      </w:pPr>
      <w:bookmarkStart w:id="9" w:name="_Toc20828"/>
      <w:r>
        <w:rPr>
          <w:rFonts w:hint="eastAsia"/>
          <w:lang w:eastAsia="zh-CN"/>
        </w:rPr>
        <w:t>（</w:t>
      </w:r>
      <w:r>
        <w:rPr>
          <w:rFonts w:hint="eastAsia"/>
          <w:lang w:val="en-US" w:eastAsia="zh-CN"/>
        </w:rPr>
        <w:t>一</w:t>
      </w:r>
      <w:r>
        <w:rPr>
          <w:rFonts w:hint="eastAsia"/>
          <w:lang w:eastAsia="zh-CN"/>
        </w:rPr>
        <w:t>）</w:t>
      </w:r>
      <w:r>
        <w:t>采购文件的组成</w:t>
      </w:r>
      <w:bookmarkEnd w:id="9"/>
    </w:p>
    <w:p w14:paraId="76308ACC">
      <w:pPr>
        <w:pStyle w:val="11"/>
        <w:pageBreakBefore w:val="0"/>
        <w:widowControl/>
        <w:numPr>
          <w:ilvl w:val="0"/>
          <w:numId w:val="4"/>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本采购文件包括以下内容：投标须知、采购需求、合同条款及格式、响应文件格式。
</w:t>
      </w:r>
    </w:p>
    <w:p w14:paraId="79CE4A17">
      <w:pPr>
        <w:pStyle w:val="11"/>
        <w:pageBreakBefore w:val="0"/>
        <w:widowControl/>
        <w:numPr>
          <w:ilvl w:val="0"/>
          <w:numId w:val="4"/>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采购人在采购过程中发出的答疑纪要、补遗文件等均是采购文件的组成部分，与采购文件具有同等法律效力。
</w:t>
      </w:r>
    </w:p>
    <w:p w14:paraId="1FE43989">
      <w:pPr>
        <w:pStyle w:val="4"/>
        <w:pageBreakBefore w:val="0"/>
        <w:widowControl/>
        <w:kinsoku/>
        <w:overflowPunct/>
        <w:topLinePunct w:val="0"/>
        <w:autoSpaceDE/>
        <w:autoSpaceDN/>
        <w:bidi w:val="0"/>
        <w:spacing w:line="560" w:lineRule="exact"/>
        <w:ind w:firstLine="600" w:firstLineChars="200"/>
        <w:textAlignment w:val="auto"/>
        <w:outlineLvl w:val="1"/>
      </w:pPr>
      <w:bookmarkStart w:id="10" w:name="_Toc25568"/>
      <w:r>
        <w:rPr>
          <w:rFonts w:hint="eastAsia"/>
          <w:lang w:eastAsia="zh-CN"/>
        </w:rPr>
        <w:t>（</w:t>
      </w:r>
      <w:r>
        <w:rPr>
          <w:rFonts w:hint="eastAsia"/>
          <w:lang w:val="en-US" w:eastAsia="zh-CN"/>
        </w:rPr>
        <w:t>二</w:t>
      </w:r>
      <w:r>
        <w:rPr>
          <w:rFonts w:hint="eastAsia"/>
          <w:lang w:eastAsia="zh-CN"/>
        </w:rPr>
        <w:t>）</w:t>
      </w:r>
      <w:r>
        <w:t>采购文件的获取</w:t>
      </w:r>
      <w:bookmarkEnd w:id="10"/>
    </w:p>
    <w:p w14:paraId="7E9FD23C">
      <w:pPr>
        <w:pStyle w:val="11"/>
        <w:pageBreakBefore w:val="0"/>
        <w:widowControl/>
        <w:kinsoku/>
        <w:overflowPunct/>
        <w:topLinePunct w:val="0"/>
        <w:autoSpaceDE/>
        <w:autoSpaceDN/>
        <w:bidi w:val="0"/>
        <w:spacing w:line="560" w:lineRule="exact"/>
        <w:ind w:firstLine="480" w:firstLineChars="200"/>
        <w:textAlignment w:val="auto"/>
      </w:pPr>
      <w:r>
        <w:t>自公告发布之日起，律师事务所可在内蒙古交通集团有限公司 https://www.nmgjtjt.com/自行下载采购文件。
</w:t>
      </w:r>
    </w:p>
    <w:p w14:paraId="231F3323">
      <w:pPr>
        <w:pStyle w:val="4"/>
        <w:pageBreakBefore w:val="0"/>
        <w:widowControl/>
        <w:kinsoku/>
        <w:overflowPunct/>
        <w:topLinePunct w:val="0"/>
        <w:autoSpaceDE/>
        <w:autoSpaceDN/>
        <w:bidi w:val="0"/>
        <w:spacing w:line="560" w:lineRule="exact"/>
        <w:ind w:firstLine="600" w:firstLineChars="200"/>
        <w:textAlignment w:val="auto"/>
        <w:outlineLvl w:val="1"/>
      </w:pPr>
      <w:bookmarkStart w:id="11" w:name="_Toc13132"/>
      <w:r>
        <w:rPr>
          <w:rFonts w:hint="eastAsia"/>
          <w:lang w:eastAsia="zh-CN"/>
        </w:rPr>
        <w:t>（</w:t>
      </w:r>
      <w:r>
        <w:rPr>
          <w:rFonts w:hint="eastAsia"/>
          <w:lang w:val="en-US" w:eastAsia="zh-CN"/>
        </w:rPr>
        <w:t>三</w:t>
      </w:r>
      <w:r>
        <w:rPr>
          <w:rFonts w:hint="eastAsia"/>
          <w:lang w:eastAsia="zh-CN"/>
        </w:rPr>
        <w:t>）</w:t>
      </w:r>
      <w:r>
        <w:t>采购文件的澄清与修改</w:t>
      </w:r>
      <w:bookmarkEnd w:id="11"/>
    </w:p>
    <w:p w14:paraId="1F1AB2CB">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rPr>
          <w:rFonts w:hint="eastAsia" w:ascii="宋体" w:hAnsi="宋体" w:eastAsia="宋体" w:cs="宋体"/>
        </w:rPr>
        <w:t>律师事务所对采购文件如有疑问，应在开标前通过电话向采购人提出。
</w:t>
      </w:r>
    </w:p>
    <w:p w14:paraId="19736650">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rPr>
          <w:rFonts w:hint="eastAsia" w:ascii="宋体" w:hAnsi="宋体" w:eastAsia="宋体" w:cs="宋体"/>
        </w:rPr>
        <w:t>采购人对已发出的采购文件进行必要澄清或者修改的，将在响应文件截止时间前，以书面形式通知所有获取采购文件的律师事务所，该澄清或者修改内容为采购文件的组成部分。
</w:t>
      </w:r>
    </w:p>
    <w:p w14:paraId="3AB28133">
      <w:pPr>
        <w:pStyle w:val="3"/>
        <w:widowControl/>
        <w:numPr>
          <w:ilvl w:val="0"/>
          <w:numId w:val="0"/>
        </w:numPr>
        <w:topLinePunct w:val="0"/>
        <w:spacing w:line="560" w:lineRule="exact"/>
        <w:ind w:left="0" w:leftChars="0" w:firstLine="600" w:firstLineChars="200"/>
        <w:outlineLvl w:val="0"/>
        <w:rPr>
          <w:rFonts w:hint="eastAsia" w:ascii="黑体" w:hAnsi="黑体" w:eastAsia="黑体" w:cs="黑体"/>
          <w:b w:val="0"/>
        </w:rPr>
      </w:pPr>
      <w:bookmarkStart w:id="12" w:name="_Toc31566"/>
      <w:r>
        <w:rPr>
          <w:rFonts w:hint="eastAsia" w:ascii="黑体" w:hAnsi="黑体" w:eastAsia="黑体" w:cs="黑体"/>
          <w:b w:val="0"/>
          <w:kern w:val="2"/>
          <w:sz w:val="30"/>
          <w:szCs w:val="32"/>
          <w:lang w:bidi="ar-SA"/>
        </w:rPr>
        <w:t>三、</w:t>
      </w:r>
      <w:r>
        <w:t>响应文件的编制
</w:t>
      </w:r>
      <w:bookmarkEnd w:id="12"/>
    </w:p>
    <w:p w14:paraId="186267E0">
      <w:pPr>
        <w:pStyle w:val="4"/>
        <w:pageBreakBefore w:val="0"/>
        <w:widowControl/>
        <w:kinsoku/>
        <w:overflowPunct/>
        <w:topLinePunct w:val="0"/>
        <w:autoSpaceDE/>
        <w:autoSpaceDN/>
        <w:bidi w:val="0"/>
        <w:spacing w:line="560" w:lineRule="exact"/>
        <w:ind w:firstLine="600" w:firstLineChars="200"/>
        <w:textAlignment w:val="auto"/>
        <w:outlineLvl w:val="1"/>
      </w:pPr>
      <w:bookmarkStart w:id="13" w:name="_Toc24298"/>
      <w:r>
        <w:rPr>
          <w:rFonts w:hint="eastAsia"/>
          <w:lang w:eastAsia="zh-CN"/>
        </w:rPr>
        <w:t>（</w:t>
      </w:r>
      <w:r>
        <w:rPr>
          <w:rFonts w:hint="eastAsia"/>
          <w:lang w:val="en-US" w:eastAsia="zh-CN"/>
        </w:rPr>
        <w:t>一</w:t>
      </w:r>
      <w:r>
        <w:rPr>
          <w:rFonts w:hint="eastAsia"/>
          <w:lang w:eastAsia="zh-CN"/>
        </w:rPr>
        <w:t>）</w:t>
      </w:r>
      <w:r>
        <w:t>响应文件的语言及计量</w:t>
      </w:r>
      <w:bookmarkEnd w:id="13"/>
    </w:p>
    <w:p w14:paraId="2322E1D2">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响应文件及律师事务所与采购人之间与采购有关的来往通知、函件和文件均应使用中文。
</w:t>
      </w:r>
    </w:p>
    <w:p w14:paraId="423D72B7">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除采购文件另有规定外，响应文件所使用的计量均采用中华人民共和国法定计量单位。
</w:t>
      </w:r>
    </w:p>
    <w:p w14:paraId="6013AE56">
      <w:pPr>
        <w:pStyle w:val="4"/>
        <w:pageBreakBefore w:val="0"/>
        <w:widowControl/>
        <w:kinsoku/>
        <w:overflowPunct/>
        <w:topLinePunct w:val="0"/>
        <w:autoSpaceDE/>
        <w:autoSpaceDN/>
        <w:bidi w:val="0"/>
        <w:spacing w:line="560" w:lineRule="exact"/>
        <w:ind w:firstLine="600" w:firstLineChars="200"/>
        <w:textAlignment w:val="auto"/>
        <w:outlineLvl w:val="1"/>
      </w:pPr>
      <w:bookmarkStart w:id="14" w:name="_Toc9697"/>
      <w:r>
        <w:rPr>
          <w:rFonts w:hint="eastAsia"/>
          <w:lang w:eastAsia="zh-CN"/>
        </w:rPr>
        <w:t>（</w:t>
      </w:r>
      <w:r>
        <w:rPr>
          <w:rFonts w:hint="eastAsia"/>
          <w:lang w:val="en-US" w:eastAsia="zh-CN"/>
        </w:rPr>
        <w:t>二</w:t>
      </w:r>
      <w:r>
        <w:rPr>
          <w:rFonts w:hint="eastAsia"/>
          <w:lang w:eastAsia="zh-CN"/>
        </w:rPr>
        <w:t>）</w:t>
      </w:r>
      <w:r>
        <w:t>响应文件的组成</w:t>
      </w:r>
      <w:bookmarkEnd w:id="14"/>
    </w:p>
    <w:p w14:paraId="6B7F0124">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投标函</w:t>
      </w:r>
      <w:r>
        <w:rPr>
          <w:rFonts w:hint="eastAsia" w:ascii="宋体" w:hAnsi="宋体" w:eastAsia="宋体" w:cs="宋体"/>
          <w:lang w:val="en-US" w:eastAsia="zh-CN"/>
        </w:rPr>
        <w:t>及响应文件目</w:t>
      </w:r>
      <w:r>
        <w:rPr>
          <w:rFonts w:hint="eastAsia" w:ascii="宋体" w:hAnsi="宋体" w:eastAsia="宋体" w:cs="宋体"/>
        </w:rPr>
        <w:t>录
</w:t>
      </w:r>
    </w:p>
    <w:p w14:paraId="05E70BC2">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法定代表人身份证明或附有法定代表人身份证明的授权委托书
</w:t>
      </w:r>
    </w:p>
    <w:p w14:paraId="60545F24">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律师事务所基本情况表
</w:t>
      </w:r>
    </w:p>
    <w:p w14:paraId="527FD57F">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项目负责人简历表
</w:t>
      </w:r>
    </w:p>
    <w:p w14:paraId="2A2DAA3A">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近三年类似项目业绩情况表
</w:t>
      </w:r>
    </w:p>
    <w:p w14:paraId="73123F0C">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服务方案，应详细阐述对合规管理体系有效性评价的工作思路、方法、人员安排、时间计划等
</w:t>
      </w:r>
    </w:p>
    <w:p w14:paraId="71D99682">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信誉材料，包括相关信用查询记录或信誉承诺书
</w:t>
      </w:r>
    </w:p>
    <w:p w14:paraId="402F473F">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其他材料，律师事务所认为需要提供的其他资料
</w:t>
      </w:r>
    </w:p>
    <w:p w14:paraId="50AAB5BF">
      <w:pPr>
        <w:pStyle w:val="4"/>
        <w:pageBreakBefore w:val="0"/>
        <w:widowControl/>
        <w:kinsoku/>
        <w:overflowPunct/>
        <w:topLinePunct w:val="0"/>
        <w:autoSpaceDE/>
        <w:autoSpaceDN/>
        <w:bidi w:val="0"/>
        <w:spacing w:line="560" w:lineRule="exact"/>
        <w:ind w:firstLine="600" w:firstLineChars="200"/>
        <w:textAlignment w:val="auto"/>
        <w:outlineLvl w:val="1"/>
      </w:pPr>
      <w:bookmarkStart w:id="15" w:name="_Toc19848"/>
      <w:r>
        <w:rPr>
          <w:rFonts w:hint="eastAsia"/>
          <w:lang w:eastAsia="zh-CN"/>
        </w:rPr>
        <w:t>（</w:t>
      </w:r>
      <w:r>
        <w:rPr>
          <w:rFonts w:hint="eastAsia"/>
          <w:lang w:val="en-US" w:eastAsia="zh-CN"/>
        </w:rPr>
        <w:t>三</w:t>
      </w:r>
      <w:r>
        <w:rPr>
          <w:rFonts w:hint="eastAsia"/>
          <w:lang w:eastAsia="zh-CN"/>
        </w:rPr>
        <w:t>）</w:t>
      </w:r>
      <w:r>
        <w:t>响应文件格式</w:t>
      </w:r>
      <w:bookmarkEnd w:id="15"/>
    </w:p>
    <w:p w14:paraId="1C895F27">
      <w:pPr>
        <w:pStyle w:val="11"/>
        <w:pageBreakBefore w:val="0"/>
        <w:widowControl/>
        <w:numPr>
          <w:ilvl w:val="0"/>
          <w:numId w:val="5"/>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rPr>
      </w:pPr>
      <w:r>
        <w:rPr>
          <w:rFonts w:hint="eastAsia" w:ascii="宋体" w:hAnsi="宋体" w:eastAsia="宋体" w:cs="宋体"/>
        </w:rPr>
        <w:t>律师事务所应按采购文件中提供的响应文件格式填写相关内容，如有必要可自行增加内容，但不得擅自修改格式。
</w:t>
      </w:r>
    </w:p>
    <w:p w14:paraId="78789E36">
      <w:pPr>
        <w:pStyle w:val="4"/>
        <w:pageBreakBefore w:val="0"/>
        <w:widowControl/>
        <w:kinsoku/>
        <w:overflowPunct/>
        <w:topLinePunct w:val="0"/>
        <w:autoSpaceDE/>
        <w:autoSpaceDN/>
        <w:bidi w:val="0"/>
        <w:spacing w:line="560" w:lineRule="exact"/>
        <w:ind w:firstLine="600" w:firstLineChars="200"/>
        <w:textAlignment w:val="auto"/>
        <w:outlineLvl w:val="1"/>
      </w:pPr>
      <w:bookmarkStart w:id="16" w:name="_Toc11037"/>
      <w:r>
        <w:rPr>
          <w:rFonts w:hint="eastAsia"/>
          <w:lang w:eastAsia="zh-CN"/>
        </w:rPr>
        <w:t>（</w:t>
      </w:r>
      <w:r>
        <w:rPr>
          <w:rFonts w:hint="eastAsia"/>
          <w:lang w:val="en-US" w:eastAsia="zh-CN"/>
        </w:rPr>
        <w:t>四</w:t>
      </w:r>
      <w:r>
        <w:rPr>
          <w:rFonts w:hint="eastAsia"/>
          <w:lang w:eastAsia="zh-CN"/>
        </w:rPr>
        <w:t>）</w:t>
      </w:r>
      <w:r>
        <w:t>投标报价</w:t>
      </w:r>
      <w:bookmarkEnd w:id="16"/>
    </w:p>
    <w:p w14:paraId="0B2CDC07">
      <w:pPr>
        <w:pStyle w:val="11"/>
        <w:pageBreakBefore w:val="0"/>
        <w:widowControl/>
        <w:numPr>
          <w:ilvl w:val="0"/>
          <w:numId w:val="6"/>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律师事务所应根据项目需求和自身情况进行报价，报价应包含完成本项目所需的全部费用，包括但不限于人员薪酬、差旅费、资料费、报告编制费、利润、税金等。
</w:t>
      </w:r>
    </w:p>
    <w:p w14:paraId="1F652BCB">
      <w:pPr>
        <w:pStyle w:val="11"/>
        <w:pageBreakBefore w:val="0"/>
        <w:widowControl/>
        <w:numPr>
          <w:ilvl w:val="0"/>
          <w:numId w:val="6"/>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报价方式为固定总价，在合同执行过程中，除合同约定的调整情况外，总价不予调整。
</w:t>
      </w:r>
    </w:p>
    <w:p w14:paraId="72A35937">
      <w:pPr>
        <w:pStyle w:val="4"/>
        <w:pageBreakBefore w:val="0"/>
        <w:widowControl/>
        <w:kinsoku/>
        <w:overflowPunct/>
        <w:topLinePunct w:val="0"/>
        <w:autoSpaceDE/>
        <w:autoSpaceDN/>
        <w:bidi w:val="0"/>
        <w:spacing w:line="560" w:lineRule="exact"/>
        <w:ind w:firstLine="600" w:firstLineChars="200"/>
        <w:textAlignment w:val="auto"/>
        <w:outlineLvl w:val="1"/>
      </w:pPr>
      <w:bookmarkStart w:id="17" w:name="_Toc30258"/>
      <w:r>
        <w:rPr>
          <w:rFonts w:hint="eastAsia"/>
          <w:lang w:eastAsia="zh-CN"/>
        </w:rPr>
        <w:t>（</w:t>
      </w:r>
      <w:r>
        <w:rPr>
          <w:rFonts w:hint="eastAsia"/>
          <w:lang w:val="en-US" w:eastAsia="zh-CN"/>
        </w:rPr>
        <w:t>五</w:t>
      </w:r>
      <w:r>
        <w:rPr>
          <w:rFonts w:hint="eastAsia"/>
          <w:lang w:eastAsia="zh-CN"/>
        </w:rPr>
        <w:t>）</w:t>
      </w:r>
      <w:r>
        <w:t>响应文件的有效期</w:t>
      </w:r>
      <w:bookmarkEnd w:id="17"/>
    </w:p>
    <w:p w14:paraId="0273AD44">
      <w:pPr>
        <w:pStyle w:val="11"/>
        <w:pageBreakBefore w:val="0"/>
        <w:widowControl/>
        <w:kinsoku/>
        <w:overflowPunct/>
        <w:topLinePunct w:val="0"/>
        <w:autoSpaceDE/>
        <w:autoSpaceDN/>
        <w:bidi w:val="0"/>
        <w:spacing w:line="560" w:lineRule="exact"/>
        <w:ind w:firstLine="480" w:firstLineChars="200"/>
        <w:textAlignment w:val="auto"/>
      </w:pPr>
      <w:r>
        <w:t>响应文件自提交截止之日起 90日内有效。
</w:t>
      </w:r>
    </w:p>
    <w:p w14:paraId="75FDBD39">
      <w:pPr>
        <w:pStyle w:val="4"/>
        <w:pageBreakBefore w:val="0"/>
        <w:widowControl/>
        <w:kinsoku/>
        <w:overflowPunct/>
        <w:topLinePunct w:val="0"/>
        <w:autoSpaceDE/>
        <w:autoSpaceDN/>
        <w:bidi w:val="0"/>
        <w:spacing w:line="560" w:lineRule="exact"/>
        <w:ind w:firstLine="600" w:firstLineChars="200"/>
        <w:textAlignment w:val="auto"/>
        <w:outlineLvl w:val="1"/>
      </w:pPr>
      <w:bookmarkStart w:id="18" w:name="_Toc1321"/>
      <w:r>
        <w:rPr>
          <w:rFonts w:hint="eastAsia"/>
          <w:lang w:eastAsia="zh-CN"/>
        </w:rPr>
        <w:t>（</w:t>
      </w:r>
      <w:r>
        <w:rPr>
          <w:rFonts w:hint="eastAsia"/>
          <w:lang w:val="en-US" w:eastAsia="zh-CN"/>
        </w:rPr>
        <w:t>六</w:t>
      </w:r>
      <w:r>
        <w:rPr>
          <w:rFonts w:hint="eastAsia"/>
          <w:lang w:eastAsia="zh-CN"/>
        </w:rPr>
        <w:t>）</w:t>
      </w:r>
      <w:r>
        <w:t>响应文件的份数和签署</w:t>
      </w:r>
      <w:bookmarkEnd w:id="18"/>
    </w:p>
    <w:p w14:paraId="40C263DC">
      <w:pPr>
        <w:pStyle w:val="11"/>
        <w:pageBreakBefore w:val="0"/>
        <w:widowControl/>
        <w:numPr>
          <w:ilvl w:val="0"/>
          <w:numId w:val="7"/>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响应文件应提交正本 1 份和副本/份，正本和副本的封面上应清楚地标记 “正本” 或 “副本” 的字样。当正本和副本不一致时，以正本为准。
</w:t>
      </w:r>
    </w:p>
    <w:p w14:paraId="429FEE2F">
      <w:pPr>
        <w:pStyle w:val="11"/>
        <w:pageBreakBefore w:val="0"/>
        <w:widowControl/>
        <w:numPr>
          <w:ilvl w:val="0"/>
          <w:numId w:val="7"/>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响应文件正本与副本均应使用不褪色的材料书写或打印，并由律师事务所的法定代表人或其委托代理人签字或盖章，并加盖律师事务所公章。委托代理人签字的，响应文件应附法定代表人签署的授权委托书。
</w:t>
      </w:r>
    </w:p>
    <w:p w14:paraId="2EF88A05">
      <w:pPr>
        <w:pStyle w:val="3"/>
        <w:widowControl/>
        <w:numPr>
          <w:ilvl w:val="0"/>
          <w:numId w:val="0"/>
        </w:numPr>
        <w:topLinePunct w:val="0"/>
        <w:spacing w:line="560" w:lineRule="exact"/>
        <w:ind w:left="0" w:leftChars="0" w:firstLine="600" w:firstLineChars="200"/>
        <w:outlineLvl w:val="0"/>
        <w:rPr>
          <w:rFonts w:hint="eastAsia" w:ascii="黑体" w:hAnsi="黑体" w:eastAsia="黑体" w:cs="黑体"/>
          <w:b w:val="0"/>
        </w:rPr>
      </w:pPr>
      <w:bookmarkStart w:id="19" w:name="_Toc29841"/>
      <w:r>
        <w:rPr>
          <w:rFonts w:hint="eastAsia" w:ascii="黑体" w:hAnsi="黑体" w:eastAsia="黑体" w:cs="黑体"/>
          <w:b w:val="0"/>
          <w:kern w:val="2"/>
          <w:sz w:val="30"/>
          <w:szCs w:val="32"/>
          <w:lang w:bidi="ar-SA"/>
        </w:rPr>
        <w:t>四、</w:t>
      </w:r>
      <w:r>
        <w:t>响应文件的提交
</w:t>
      </w:r>
      <w:bookmarkEnd w:id="19"/>
    </w:p>
    <w:p w14:paraId="5356145F">
      <w:pPr>
        <w:pStyle w:val="4"/>
        <w:pageBreakBefore w:val="0"/>
        <w:widowControl/>
        <w:kinsoku/>
        <w:overflowPunct/>
        <w:topLinePunct w:val="0"/>
        <w:autoSpaceDE/>
        <w:autoSpaceDN/>
        <w:bidi w:val="0"/>
        <w:spacing w:line="560" w:lineRule="exact"/>
        <w:ind w:firstLine="600" w:firstLineChars="200"/>
        <w:textAlignment w:val="auto"/>
        <w:outlineLvl w:val="1"/>
      </w:pPr>
      <w:bookmarkStart w:id="20" w:name="_Toc19106"/>
      <w:r>
        <w:rPr>
          <w:rFonts w:hint="eastAsia"/>
          <w:lang w:eastAsia="zh-CN"/>
        </w:rPr>
        <w:t>（</w:t>
      </w:r>
      <w:r>
        <w:rPr>
          <w:rFonts w:hint="eastAsia"/>
          <w:lang w:val="en-US" w:eastAsia="zh-CN"/>
        </w:rPr>
        <w:t>一</w:t>
      </w:r>
      <w:r>
        <w:rPr>
          <w:rFonts w:hint="eastAsia"/>
          <w:lang w:eastAsia="zh-CN"/>
        </w:rPr>
        <w:t>）</w:t>
      </w:r>
      <w:r>
        <w:t>响应文件的密封和标记</w:t>
      </w:r>
      <w:bookmarkEnd w:id="20"/>
    </w:p>
    <w:p w14:paraId="43DCA199">
      <w:pPr>
        <w:pStyle w:val="11"/>
        <w:pageBreakBefore w:val="0"/>
        <w:widowControl/>
        <w:numPr>
          <w:ilvl w:val="0"/>
          <w:numId w:val="8"/>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律师事务所应将响应文件正本和副本分别密封在单独的信封中，加贴封条，并在封套的封口处加盖律师事务所公章或密封章。
</w:t>
      </w:r>
    </w:p>
    <w:p w14:paraId="00D429A0">
      <w:pPr>
        <w:pStyle w:val="11"/>
        <w:pageBreakBefore w:val="0"/>
        <w:widowControl/>
        <w:numPr>
          <w:ilvl w:val="0"/>
          <w:numId w:val="8"/>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封套上应写明采购人名称、项目名称、律师事务所名称，并注明 “响应文件递交截止时间前不得开启” 的字样。
</w:t>
      </w:r>
    </w:p>
    <w:p w14:paraId="054C7C44">
      <w:pPr>
        <w:pStyle w:val="4"/>
        <w:pageBreakBefore w:val="0"/>
        <w:widowControl/>
        <w:kinsoku/>
        <w:overflowPunct/>
        <w:topLinePunct w:val="0"/>
        <w:autoSpaceDE/>
        <w:autoSpaceDN/>
        <w:bidi w:val="0"/>
        <w:spacing w:line="560" w:lineRule="exact"/>
        <w:ind w:firstLine="600" w:firstLineChars="200"/>
        <w:textAlignment w:val="auto"/>
        <w:outlineLvl w:val="1"/>
      </w:pPr>
      <w:bookmarkStart w:id="21" w:name="_Toc12288"/>
      <w:r>
        <w:rPr>
          <w:rFonts w:hint="eastAsia"/>
          <w:lang w:eastAsia="zh-CN"/>
        </w:rPr>
        <w:t>（</w:t>
      </w:r>
      <w:r>
        <w:rPr>
          <w:rFonts w:hint="eastAsia"/>
          <w:lang w:val="en-US" w:eastAsia="zh-CN"/>
        </w:rPr>
        <w:t>二</w:t>
      </w:r>
      <w:r>
        <w:rPr>
          <w:rFonts w:hint="eastAsia"/>
          <w:lang w:eastAsia="zh-CN"/>
        </w:rPr>
        <w:t>）</w:t>
      </w:r>
      <w:r>
        <w:t>响应文件的提交截止时间</w:t>
      </w:r>
      <w:bookmarkEnd w:id="21"/>
    </w:p>
    <w:p w14:paraId="19680150">
      <w:pPr>
        <w:pStyle w:val="11"/>
        <w:pageBreakBefore w:val="0"/>
        <w:widowControl/>
        <w:kinsoku/>
        <w:overflowPunct/>
        <w:topLinePunct w:val="0"/>
        <w:autoSpaceDE/>
        <w:autoSpaceDN/>
        <w:bidi w:val="0"/>
        <w:spacing w:line="560" w:lineRule="exact"/>
        <w:ind w:firstLine="480" w:firstLineChars="200"/>
        <w:textAlignment w:val="auto"/>
      </w:pPr>
      <w:r>
        <w:t>响应文件提交截止时间为2025年6月27日上午12：00（北京时间），以响应文件送达或邮寄签收时间为准。
</w:t>
      </w:r>
    </w:p>
    <w:p w14:paraId="746049FE">
      <w:pPr>
        <w:pStyle w:val="11"/>
        <w:pageBreakBefore w:val="0"/>
        <w:widowControl/>
        <w:kinsoku/>
        <w:overflowPunct/>
        <w:topLinePunct w:val="0"/>
        <w:autoSpaceDE/>
        <w:autoSpaceDN/>
        <w:bidi w:val="0"/>
        <w:spacing w:line="560" w:lineRule="exact"/>
        <w:ind w:left="0" w:leftChars="0" w:firstLine="600" w:firstLineChars="200"/>
        <w:textAlignment w:val="auto"/>
        <w:rPr>
          <w:rFonts w:ascii="Times New Roman" w:hAnsi="Times New Roman" w:eastAsia="黑体" w:cs="Times New Roman"/>
          <w:kern w:val="2"/>
          <w:sz w:val="30"/>
          <w:szCs w:val="24"/>
          <w:lang w:bidi="ar-SA"/>
        </w:rPr>
      </w:pPr>
      <w:r>
        <w:rPr>
          <w:rFonts w:hint="eastAsia" w:ascii="Times New Roman" w:hAnsi="Times New Roman" w:eastAsia="黑体" w:cs="Times New Roman"/>
          <w:kern w:val="2"/>
          <w:sz w:val="30"/>
          <w:szCs w:val="24"/>
          <w:lang w:eastAsia="zh-CN" w:bidi="ar-SA"/>
        </w:rPr>
        <w:t>（</w:t>
      </w:r>
      <w:r>
        <w:rPr>
          <w:rFonts w:hint="eastAsia" w:ascii="Times New Roman" w:hAnsi="Times New Roman" w:eastAsia="黑体" w:cs="Times New Roman"/>
          <w:kern w:val="2"/>
          <w:sz w:val="30"/>
          <w:szCs w:val="24"/>
          <w:lang w:val="en-US" w:eastAsia="zh-CN" w:bidi="ar-SA"/>
        </w:rPr>
        <w:t>三</w:t>
      </w:r>
      <w:r>
        <w:rPr>
          <w:rFonts w:hint="eastAsia" w:ascii="Times New Roman" w:hAnsi="Times New Roman" w:eastAsia="黑体" w:cs="Times New Roman"/>
          <w:kern w:val="2"/>
          <w:sz w:val="30"/>
          <w:szCs w:val="24"/>
          <w:lang w:eastAsia="zh-CN" w:bidi="ar-SA"/>
        </w:rPr>
        <w:t>）</w:t>
      </w:r>
      <w:r>
        <w:rPr>
          <w:rFonts w:ascii="Times New Roman" w:hAnsi="Times New Roman" w:eastAsia="黑体" w:cs="Times New Roman"/>
          <w:kern w:val="2"/>
          <w:sz w:val="30"/>
          <w:szCs w:val="24"/>
          <w:lang w:bidi="ar-SA"/>
        </w:rPr>
        <w:t>迟交的响应文件</w:t>
      </w:r>
    </w:p>
    <w:p w14:paraId="07566068">
      <w:pPr>
        <w:pStyle w:val="11"/>
        <w:pageBreakBefore w:val="0"/>
        <w:widowControl/>
        <w:kinsoku/>
        <w:overflowPunct/>
        <w:topLinePunct w:val="0"/>
        <w:autoSpaceDE/>
        <w:autoSpaceDN/>
        <w:bidi w:val="0"/>
        <w:spacing w:line="560" w:lineRule="exact"/>
        <w:ind w:firstLine="480" w:firstLineChars="200"/>
        <w:textAlignment w:val="auto"/>
      </w:pPr>
      <w:r>
        <w:t>逾期送达或未送达指定地点的响应文件，采购人不予受理。
</w:t>
      </w:r>
    </w:p>
    <w:p w14:paraId="5DB9E548">
      <w:pPr>
        <w:pStyle w:val="4"/>
        <w:pageBreakBefore w:val="0"/>
        <w:widowControl/>
        <w:kinsoku/>
        <w:overflowPunct/>
        <w:topLinePunct w:val="0"/>
        <w:autoSpaceDE/>
        <w:autoSpaceDN/>
        <w:bidi w:val="0"/>
        <w:spacing w:line="560" w:lineRule="exact"/>
        <w:ind w:firstLine="600" w:firstLineChars="200"/>
        <w:textAlignment w:val="auto"/>
        <w:outlineLvl w:val="1"/>
      </w:pPr>
      <w:bookmarkStart w:id="22" w:name="_Toc3043"/>
      <w:r>
        <w:rPr>
          <w:rFonts w:hint="eastAsia"/>
          <w:lang w:eastAsia="zh-CN"/>
        </w:rPr>
        <w:t>（</w:t>
      </w:r>
      <w:r>
        <w:rPr>
          <w:rFonts w:hint="eastAsia"/>
          <w:lang w:val="en-US" w:eastAsia="zh-CN"/>
        </w:rPr>
        <w:t>四</w:t>
      </w:r>
      <w:r>
        <w:rPr>
          <w:rFonts w:hint="eastAsia"/>
          <w:lang w:eastAsia="zh-CN"/>
        </w:rPr>
        <w:t>）</w:t>
      </w:r>
      <w:r>
        <w:t>响应文件的修改与撤回</w:t>
      </w:r>
      <w:bookmarkEnd w:id="22"/>
    </w:p>
    <w:p w14:paraId="619C0B02">
      <w:pPr>
        <w:pStyle w:val="11"/>
        <w:pageBreakBefore w:val="0"/>
        <w:widowControl/>
        <w:numPr>
          <w:ilvl w:val="0"/>
          <w:numId w:val="9"/>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在响应文件提交截止时间前，律师事务所可以修改或撤回已提交的响应文件，并以书面形式通知采购人。修改的内容为响应文件的组成部分。
</w:t>
      </w:r>
    </w:p>
    <w:p w14:paraId="5A20160C">
      <w:pPr>
        <w:pStyle w:val="11"/>
        <w:pageBreakBefore w:val="0"/>
        <w:widowControl/>
        <w:numPr>
          <w:ilvl w:val="0"/>
          <w:numId w:val="9"/>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修改的响应文件应按照采购文件规定进行编制、密封、标记和提交。
</w:t>
      </w:r>
    </w:p>
    <w:p w14:paraId="454AB8FE">
      <w:pPr>
        <w:pStyle w:val="3"/>
        <w:widowControl/>
        <w:numPr>
          <w:ilvl w:val="0"/>
          <w:numId w:val="0"/>
        </w:numPr>
        <w:topLinePunct w:val="0"/>
        <w:spacing w:line="560" w:lineRule="exact"/>
        <w:ind w:left="0" w:leftChars="0" w:firstLine="600" w:firstLineChars="200"/>
        <w:outlineLvl w:val="0"/>
        <w:rPr>
          <w:rFonts w:hint="eastAsia" w:ascii="黑体" w:hAnsi="黑体" w:eastAsia="黑体" w:cs="黑体"/>
          <w:b w:val="0"/>
        </w:rPr>
      </w:pPr>
      <w:bookmarkStart w:id="23" w:name="_Toc19506"/>
      <w:r>
        <w:rPr>
          <w:rFonts w:hint="eastAsia" w:ascii="黑体" w:hAnsi="黑体" w:eastAsia="黑体" w:cs="黑体"/>
          <w:b w:val="0"/>
          <w:kern w:val="2"/>
          <w:sz w:val="30"/>
          <w:szCs w:val="32"/>
          <w:lang w:bidi="ar-SA"/>
        </w:rPr>
        <w:t>五、</w:t>
      </w:r>
      <w:r>
        <w:t>评审与定标
</w:t>
      </w:r>
      <w:bookmarkEnd w:id="23"/>
    </w:p>
    <w:p w14:paraId="152AAC66">
      <w:pPr>
        <w:pStyle w:val="4"/>
        <w:pageBreakBefore w:val="0"/>
        <w:widowControl/>
        <w:numPr>
          <w:ilvl w:val="0"/>
          <w:numId w:val="0"/>
        </w:numPr>
        <w:kinsoku/>
        <w:overflowPunct/>
        <w:topLinePunct w:val="0"/>
        <w:autoSpaceDE/>
        <w:autoSpaceDN/>
        <w:bidi w:val="0"/>
        <w:spacing w:line="560" w:lineRule="exact"/>
        <w:ind w:firstLine="600" w:firstLineChars="200"/>
        <w:textAlignment w:val="auto"/>
        <w:outlineLvl w:val="1"/>
      </w:pPr>
      <w:bookmarkStart w:id="24" w:name="_Toc26509"/>
      <w:r>
        <w:rPr>
          <w:rFonts w:hint="eastAsia"/>
          <w:lang w:eastAsia="zh-CN"/>
        </w:rPr>
        <w:t>（</w:t>
      </w:r>
      <w:r>
        <w:rPr>
          <w:rFonts w:hint="eastAsia"/>
          <w:lang w:val="en-US" w:eastAsia="zh-CN"/>
        </w:rPr>
        <w:t>一</w:t>
      </w:r>
      <w:r>
        <w:rPr>
          <w:rFonts w:hint="eastAsia"/>
          <w:lang w:eastAsia="zh-CN"/>
        </w:rPr>
        <w:t>）</w:t>
      </w:r>
      <w:r>
        <w:t>评审小组</w:t>
      </w:r>
      <w:bookmarkEnd w:id="24"/>
    </w:p>
    <w:p w14:paraId="5DE83CE6">
      <w:pPr>
        <w:pStyle w:val="11"/>
        <w:pageBreakBefore w:val="0"/>
        <w:widowControl/>
        <w:kinsoku/>
        <w:overflowPunct/>
        <w:topLinePunct w:val="0"/>
        <w:autoSpaceDE/>
        <w:autoSpaceDN/>
        <w:bidi w:val="0"/>
        <w:spacing w:line="560" w:lineRule="exact"/>
        <w:ind w:firstLine="480" w:firstLineChars="200"/>
        <w:textAlignment w:val="auto"/>
      </w:pPr>
      <w:r>
        <w:t>采购人将组建评审小组，负责对响应文件进行评审。
</w:t>
      </w:r>
    </w:p>
    <w:p w14:paraId="4DD847AD">
      <w:pPr>
        <w:pStyle w:val="4"/>
        <w:pageBreakBefore w:val="0"/>
        <w:widowControl/>
        <w:kinsoku/>
        <w:overflowPunct/>
        <w:topLinePunct w:val="0"/>
        <w:autoSpaceDE/>
        <w:autoSpaceDN/>
        <w:bidi w:val="0"/>
        <w:spacing w:line="560" w:lineRule="exact"/>
        <w:ind w:firstLine="600" w:firstLineChars="200"/>
        <w:textAlignment w:val="auto"/>
        <w:outlineLvl w:val="1"/>
      </w:pPr>
      <w:bookmarkStart w:id="25" w:name="_Toc14359"/>
      <w:r>
        <w:rPr>
          <w:rFonts w:hint="eastAsia"/>
          <w:lang w:eastAsia="zh-CN"/>
        </w:rPr>
        <w:t>（</w:t>
      </w:r>
      <w:r>
        <w:rPr>
          <w:rFonts w:hint="eastAsia"/>
          <w:lang w:val="en-US" w:eastAsia="zh-CN"/>
        </w:rPr>
        <w:t>二</w:t>
      </w:r>
      <w:r>
        <w:rPr>
          <w:rFonts w:hint="eastAsia"/>
          <w:lang w:eastAsia="zh-CN"/>
        </w:rPr>
        <w:t>）</w:t>
      </w:r>
      <w:r>
        <w:t>评审原则和方法</w:t>
      </w:r>
      <w:bookmarkEnd w:id="25"/>
    </w:p>
    <w:p w14:paraId="29D0D202">
      <w:pPr>
        <w:pStyle w:val="11"/>
        <w:pageBreakBefore w:val="0"/>
        <w:widowControl/>
        <w:numPr>
          <w:ilvl w:val="0"/>
          <w:numId w:val="10"/>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评审遵循公平、公正、公开的原则，采用综合评分法，对律师事务所的服务方案、专业能力、报价、信誉等因素进行综合评分，得分最高的律师事务所为成交候选人。
</w:t>
      </w:r>
    </w:p>
    <w:p w14:paraId="7F19E594">
      <w:pPr>
        <w:pStyle w:val="11"/>
        <w:pageBreakBefore w:val="0"/>
        <w:widowControl/>
        <w:numPr>
          <w:ilvl w:val="0"/>
          <w:numId w:val="10"/>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若报名律师事务所为 2 家，正常开展评审工作；若报名仅 1 家律师事务所，评审小组将对其响应文件进行直接评审 。
</w:t>
      </w:r>
    </w:p>
    <w:p w14:paraId="25BB0307">
      <w:pPr>
        <w:pStyle w:val="4"/>
        <w:pageBreakBefore w:val="0"/>
        <w:widowControl/>
        <w:kinsoku/>
        <w:overflowPunct/>
        <w:topLinePunct w:val="0"/>
        <w:autoSpaceDE/>
        <w:autoSpaceDN/>
        <w:bidi w:val="0"/>
        <w:spacing w:line="560" w:lineRule="exact"/>
        <w:ind w:firstLine="600" w:firstLineChars="200"/>
        <w:textAlignment w:val="auto"/>
        <w:outlineLvl w:val="1"/>
      </w:pPr>
      <w:bookmarkStart w:id="26" w:name="_Toc30808"/>
      <w:r>
        <w:rPr>
          <w:rFonts w:hint="eastAsia"/>
          <w:lang w:eastAsia="zh-CN"/>
        </w:rPr>
        <w:t>（</w:t>
      </w:r>
      <w:r>
        <w:rPr>
          <w:rFonts w:hint="eastAsia"/>
          <w:lang w:val="en-US" w:eastAsia="zh-CN"/>
        </w:rPr>
        <w:t>三</w:t>
      </w:r>
      <w:r>
        <w:rPr>
          <w:rFonts w:hint="eastAsia"/>
          <w:lang w:eastAsia="zh-CN"/>
        </w:rPr>
        <w:t>）</w:t>
      </w:r>
      <w:r>
        <w:t>定标</w:t>
      </w:r>
      <w:bookmarkEnd w:id="26"/>
    </w:p>
    <w:p w14:paraId="7775FB93">
      <w:pPr>
        <w:pStyle w:val="11"/>
        <w:pageBreakBefore w:val="0"/>
        <w:widowControl/>
        <w:kinsoku/>
        <w:overflowPunct/>
        <w:topLinePunct w:val="0"/>
        <w:autoSpaceDE/>
        <w:autoSpaceDN/>
        <w:bidi w:val="0"/>
        <w:spacing w:line="560" w:lineRule="exact"/>
        <w:ind w:firstLine="480" w:firstLineChars="200"/>
        <w:textAlignment w:val="auto"/>
      </w:pPr>
      <w:r>
        <w:t>评审结束后，采购人确定成交律师事务所，并以书面形式发出成交通知书。
</w:t>
      </w:r>
    </w:p>
    <w:p w14:paraId="3387FCDF">
      <w:pPr>
        <w:pStyle w:val="3"/>
        <w:widowControl/>
        <w:numPr>
          <w:ilvl w:val="0"/>
          <w:numId w:val="0"/>
        </w:numPr>
        <w:topLinePunct w:val="0"/>
        <w:spacing w:line="560" w:lineRule="exact"/>
        <w:ind w:left="0" w:leftChars="0" w:firstLine="600" w:firstLineChars="200"/>
        <w:outlineLvl w:val="0"/>
        <w:rPr>
          <w:rFonts w:hint="eastAsia" w:ascii="黑体" w:hAnsi="黑体" w:eastAsia="黑体" w:cs="黑体"/>
          <w:b w:val="0"/>
        </w:rPr>
      </w:pPr>
      <w:bookmarkStart w:id="27" w:name="_Toc5351"/>
      <w:r>
        <w:rPr>
          <w:rFonts w:hint="eastAsia" w:ascii="黑体" w:hAnsi="黑体" w:eastAsia="黑体" w:cs="黑体"/>
          <w:b w:val="0"/>
          <w:kern w:val="2"/>
          <w:sz w:val="30"/>
          <w:szCs w:val="32"/>
          <w:lang w:bidi="ar-SA"/>
        </w:rPr>
        <w:t>六、</w:t>
      </w:r>
      <w:r>
        <w:t>合同授予
</w:t>
      </w:r>
      <w:bookmarkEnd w:id="27"/>
    </w:p>
    <w:p w14:paraId="0C9352F3">
      <w:pPr>
        <w:pStyle w:val="4"/>
        <w:pageBreakBefore w:val="0"/>
        <w:widowControl/>
        <w:kinsoku/>
        <w:overflowPunct/>
        <w:topLinePunct w:val="0"/>
        <w:autoSpaceDE/>
        <w:autoSpaceDN/>
        <w:bidi w:val="0"/>
        <w:spacing w:line="560" w:lineRule="exact"/>
        <w:ind w:firstLine="600" w:firstLineChars="200"/>
        <w:textAlignment w:val="auto"/>
        <w:outlineLvl w:val="1"/>
      </w:pPr>
      <w:bookmarkStart w:id="28" w:name="_Toc3704"/>
      <w:r>
        <w:rPr>
          <w:rFonts w:hint="eastAsia"/>
          <w:lang w:eastAsia="zh-CN"/>
        </w:rPr>
        <w:t>（</w:t>
      </w:r>
      <w:r>
        <w:rPr>
          <w:rFonts w:hint="eastAsia"/>
          <w:lang w:val="en-US" w:eastAsia="zh-CN"/>
        </w:rPr>
        <w:t>一</w:t>
      </w:r>
      <w:r>
        <w:rPr>
          <w:rFonts w:hint="eastAsia"/>
          <w:lang w:eastAsia="zh-CN"/>
        </w:rPr>
        <w:t>）</w:t>
      </w:r>
      <w:r>
        <w:t>合同授予标准</w:t>
      </w:r>
      <w:bookmarkEnd w:id="28"/>
    </w:p>
    <w:p w14:paraId="55753679">
      <w:pPr>
        <w:pStyle w:val="11"/>
        <w:pageBreakBefore w:val="0"/>
        <w:widowControl/>
        <w:kinsoku/>
        <w:overflowPunct/>
        <w:topLinePunct w:val="0"/>
        <w:autoSpaceDE/>
        <w:autoSpaceDN/>
        <w:bidi w:val="0"/>
        <w:spacing w:line="560" w:lineRule="exact"/>
        <w:ind w:firstLine="480" w:firstLineChars="200"/>
        <w:textAlignment w:val="auto"/>
      </w:pPr>
      <w:r>
        <w:t>本采购合同将授予按规定确定的成交律师事务所。
</w:t>
      </w:r>
    </w:p>
    <w:p w14:paraId="3639B6BE">
      <w:pPr>
        <w:pStyle w:val="4"/>
        <w:pageBreakBefore w:val="0"/>
        <w:widowControl/>
        <w:kinsoku/>
        <w:overflowPunct/>
        <w:topLinePunct w:val="0"/>
        <w:autoSpaceDE/>
        <w:autoSpaceDN/>
        <w:bidi w:val="0"/>
        <w:spacing w:line="560" w:lineRule="exact"/>
        <w:ind w:firstLine="600" w:firstLineChars="200"/>
        <w:textAlignment w:val="auto"/>
        <w:outlineLvl w:val="1"/>
      </w:pPr>
      <w:bookmarkStart w:id="29" w:name="_Toc15990"/>
      <w:r>
        <w:rPr>
          <w:rFonts w:hint="eastAsia"/>
          <w:lang w:eastAsia="zh-CN"/>
        </w:rPr>
        <w:t>（</w:t>
      </w:r>
      <w:r>
        <w:rPr>
          <w:rFonts w:hint="eastAsia"/>
          <w:lang w:val="en-US" w:eastAsia="zh-CN"/>
        </w:rPr>
        <w:t>二</w:t>
      </w:r>
      <w:r>
        <w:rPr>
          <w:rFonts w:hint="eastAsia"/>
          <w:lang w:eastAsia="zh-CN"/>
        </w:rPr>
        <w:t>）</w:t>
      </w:r>
      <w:r>
        <w:t>签订合同</w:t>
      </w:r>
      <w:bookmarkEnd w:id="29"/>
    </w:p>
    <w:p w14:paraId="6707F94C">
      <w:pPr>
        <w:pStyle w:val="11"/>
        <w:pageBreakBefore w:val="0"/>
        <w:widowControl/>
        <w:numPr>
          <w:ilvl w:val="0"/>
          <w:numId w:val="11"/>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成交律师事务所应在收到成交通知书后7日内，与采购人签订合同。
</w:t>
      </w:r>
    </w:p>
    <w:p w14:paraId="4C3D0050">
      <w:pPr>
        <w:pStyle w:val="11"/>
        <w:pageBreakBefore w:val="0"/>
        <w:widowControl/>
        <w:numPr>
          <w:ilvl w:val="0"/>
          <w:numId w:val="11"/>
        </w:numPr>
        <w:kinsoku/>
        <w:overflowPunct/>
        <w:topLinePunct w:val="0"/>
        <w:autoSpaceDE/>
        <w:autoSpaceDN/>
        <w:bidi w:val="0"/>
        <w:spacing w:line="560" w:lineRule="exact"/>
        <w:ind w:left="0" w:leftChars="0" w:firstLine="480" w:firstLineChars="200"/>
        <w:textAlignment w:val="auto"/>
        <w:rPr>
          <w:rFonts w:hint="eastAsia" w:ascii="宋体" w:hAnsi="宋体" w:eastAsia="宋体" w:cs="宋体"/>
          <w:b w:val="0"/>
          <w:color w:val="3370FF"/>
        </w:rPr>
      </w:pPr>
      <w:r>
        <w:t>采购文件、成交律师事务所的响应文件及评审过程中有关澄清、说明或者补正文件均作为合同附件。
</w:t>
      </w:r>
    </w:p>
    <w:p w14:paraId="5B67A894">
      <w:pPr>
        <w:pStyle w:val="2"/>
        <w:pageBreakBefore w:val="0"/>
        <w:widowControl/>
        <w:numPr>
          <w:ilvl w:val="0"/>
          <w:numId w:val="0"/>
        </w:numPr>
        <w:kinsoku/>
        <w:overflowPunct/>
        <w:topLinePunct w:val="0"/>
        <w:autoSpaceDE/>
        <w:autoSpaceDN/>
        <w:bidi w:val="0"/>
        <w:spacing w:line="560" w:lineRule="exact"/>
        <w:ind w:left="0" w:leftChars="0" w:firstLine="640" w:firstLineChars="200"/>
        <w:jc w:val="center"/>
        <w:textAlignment w:val="auto"/>
        <w:rPr>
          <w:b w:val="0"/>
        </w:rPr>
      </w:pPr>
      <w:bookmarkStart w:id="30" w:name="_Toc31002"/>
      <w:r>
        <w:rPr>
          <w:rFonts w:hint="eastAsia" w:ascii="Times New Roman" w:hAnsi="Times New Roman" w:eastAsia="黑体" w:cs="Times New Roman"/>
          <w:b w:val="0"/>
          <w:color w:val="000000"/>
          <w:kern w:val="44"/>
          <w:sz w:val="32"/>
          <w:szCs w:val="44"/>
          <w:lang w:bidi="ar-SA"/>
        </w:rPr>
        <w:t>第二章</w:t>
      </w:r>
      <w:r>
        <w:rPr>
          <w:rFonts w:hint="eastAsia" w:cs="Times New Roman"/>
          <w:b w:val="0"/>
          <w:color w:val="000000"/>
          <w:kern w:val="44"/>
          <w:sz w:val="32"/>
          <w:szCs w:val="44"/>
          <w:lang w:val="en-US" w:eastAsia="zh-CN" w:bidi="ar-SA"/>
        </w:rPr>
        <w:t xml:space="preserve"> </w:t>
      </w:r>
      <w:r>
        <w:t>采购需求
</w:t>
      </w:r>
      <w:bookmarkEnd w:id="30"/>
    </w:p>
    <w:p w14:paraId="1A4115B3">
      <w:pPr>
        <w:pStyle w:val="11"/>
        <w:pageBreakBefore w:val="0"/>
        <w:widowControl/>
        <w:kinsoku/>
        <w:overflowPunct/>
        <w:topLinePunct w:val="0"/>
        <w:autoSpaceDE/>
        <w:autoSpaceDN/>
        <w:bidi w:val="0"/>
        <w:spacing w:line="560" w:lineRule="exact"/>
        <w:ind w:firstLine="480" w:firstLineChars="200"/>
        <w:textAlignment w:val="auto"/>
      </w:pPr>
      <w:r>
        <w:t>同采购公告中 “二、采购范围及相关要求” 内容，具体如下：
</w:t>
      </w:r>
    </w:p>
    <w:p w14:paraId="462A0DEC">
      <w:pPr>
        <w:pStyle w:val="11"/>
        <w:pageBreakBefore w:val="0"/>
        <w:widowControl/>
        <w:numPr>
          <w:ilvl w:val="0"/>
          <w:numId w:val="12"/>
        </w:numPr>
        <w:kinsoku/>
        <w:overflowPunct/>
        <w:topLinePunct w:val="0"/>
        <w:autoSpaceDE/>
        <w:autoSpaceDN/>
        <w:bidi w:val="0"/>
        <w:spacing w:line="560" w:lineRule="exact"/>
        <w:ind w:firstLine="482" w:firstLineChars="200"/>
        <w:textAlignment w:val="auto"/>
      </w:pPr>
      <w:r>
        <w:rPr>
          <w:b/>
        </w:rPr>
        <w:t>项目概况</w:t>
      </w:r>
      <w:r>
        <w:t>：通过专业律师事务所对公司现有的合规管理体系进行全面、客观的评价，找出体系运行中存在的问题和不足，提出改进建议和措施，助力公司优化合规管理体系，降低合规风险，提高管理效率和效益。
</w:t>
      </w:r>
    </w:p>
    <w:p w14:paraId="6BEF7B12">
      <w:pPr>
        <w:pStyle w:val="11"/>
        <w:pageBreakBefore w:val="0"/>
        <w:widowControl/>
        <w:numPr>
          <w:ilvl w:val="0"/>
          <w:numId w:val="12"/>
        </w:numPr>
        <w:kinsoku/>
        <w:overflowPunct/>
        <w:topLinePunct w:val="0"/>
        <w:autoSpaceDE/>
        <w:autoSpaceDN/>
        <w:bidi w:val="0"/>
        <w:spacing w:line="560" w:lineRule="exact"/>
        <w:ind w:firstLine="482" w:firstLineChars="200"/>
        <w:textAlignment w:val="auto"/>
        <w:rPr>
          <w:b w:val="0"/>
          <w:color w:val="3370FF"/>
        </w:rPr>
      </w:pPr>
      <w:r>
        <w:rPr>
          <w:b/>
        </w:rPr>
        <w:t>采购范围</w:t>
      </w:r>
      <w:r>
        <w:t>：对内蒙古交通物资有限责任公司合规管理体系进行有效评价，涵盖制度建设、组织体系、机制运行、管理保障、违规问责等方面（具体内容详见采购公告）。
</w:t>
      </w:r>
    </w:p>
    <w:p w14:paraId="2A508898">
      <w:pPr>
        <w:pStyle w:val="11"/>
        <w:pageBreakBefore w:val="0"/>
        <w:widowControl/>
        <w:numPr>
          <w:ilvl w:val="0"/>
          <w:numId w:val="12"/>
        </w:numPr>
        <w:kinsoku/>
        <w:overflowPunct/>
        <w:topLinePunct w:val="0"/>
        <w:autoSpaceDE/>
        <w:autoSpaceDN/>
        <w:bidi w:val="0"/>
        <w:spacing w:line="560" w:lineRule="exact"/>
        <w:ind w:firstLine="482" w:firstLineChars="200"/>
        <w:textAlignment w:val="auto"/>
        <w:rPr>
          <w:b w:val="0"/>
          <w:color w:val="3370FF"/>
        </w:rPr>
      </w:pPr>
      <w:r>
        <w:rPr>
          <w:b/>
        </w:rPr>
        <w:t>服务周期</w:t>
      </w:r>
      <w:r>
        <w:t>：自合同签订之日起</w:t>
      </w:r>
      <w:r>
        <w:rPr>
          <w:rFonts w:hint="eastAsia"/>
          <w:lang w:val="en-US" w:eastAsia="zh-CN"/>
        </w:rPr>
        <w:t>15个工作日</w:t>
      </w:r>
      <w:r>
        <w:t>内完成全部评价工作，并提交正式评价报告。
</w:t>
      </w:r>
    </w:p>
    <w:p w14:paraId="7B1140BA">
      <w:pPr>
        <w:pStyle w:val="11"/>
        <w:pageBreakBefore w:val="0"/>
        <w:widowControl/>
        <w:numPr>
          <w:ilvl w:val="0"/>
          <w:numId w:val="12"/>
        </w:numPr>
        <w:kinsoku/>
        <w:overflowPunct/>
        <w:topLinePunct w:val="0"/>
        <w:autoSpaceDE/>
        <w:autoSpaceDN/>
        <w:bidi w:val="0"/>
        <w:spacing w:line="560" w:lineRule="exact"/>
        <w:ind w:firstLine="482" w:firstLineChars="200"/>
        <w:textAlignment w:val="auto"/>
        <w:rPr>
          <w:b w:val="0"/>
          <w:color w:val="3370FF"/>
        </w:rPr>
      </w:pPr>
      <w:r>
        <w:rPr>
          <w:b/>
        </w:rPr>
        <w:t>服务地点</w:t>
      </w:r>
      <w:r>
        <w:t>：内蒙古交通物资有限责任公司指定地点 。
</w:t>
      </w:r>
    </w:p>
    <w:p w14:paraId="180E65D2">
      <w:pPr>
        <w:pStyle w:val="11"/>
        <w:pageBreakBefore w:val="0"/>
        <w:widowControl/>
        <w:numPr>
          <w:ilvl w:val="0"/>
          <w:numId w:val="12"/>
        </w:numPr>
        <w:kinsoku/>
        <w:overflowPunct/>
        <w:topLinePunct w:val="0"/>
        <w:autoSpaceDE/>
        <w:autoSpaceDN/>
        <w:bidi w:val="0"/>
        <w:spacing w:line="560" w:lineRule="exact"/>
        <w:ind w:firstLine="482" w:firstLineChars="200"/>
        <w:textAlignment w:val="auto"/>
        <w:rPr>
          <w:b w:val="0"/>
          <w:color w:val="3370FF"/>
        </w:rPr>
      </w:pPr>
      <w:r>
        <w:rPr>
          <w:b/>
        </w:rPr>
        <w:t>服务质量标准</w:t>
      </w:r>
      <w:r>
        <w:t>：评价工作需遵循国家相关法律法规、行业标准以及企业内部管理要求，评价报告内容需真实、准确、全面，提出的优化建议具有针对性和可操作性。
</w:t>
      </w:r>
    </w:p>
    <w:p w14:paraId="2A545916">
      <w:pPr>
        <w:pStyle w:val="2"/>
        <w:pageBreakBefore w:val="0"/>
        <w:widowControl/>
        <w:numPr>
          <w:ilvl w:val="0"/>
          <w:numId w:val="0"/>
        </w:numPr>
        <w:kinsoku/>
        <w:overflowPunct/>
        <w:topLinePunct w:val="0"/>
        <w:autoSpaceDE/>
        <w:autoSpaceDN/>
        <w:bidi w:val="0"/>
        <w:spacing w:line="560" w:lineRule="exact"/>
        <w:ind w:left="0" w:leftChars="0" w:firstLine="640" w:firstLineChars="200"/>
        <w:jc w:val="center"/>
        <w:textAlignment w:val="auto"/>
        <w:rPr>
          <w:b w:val="0"/>
        </w:rPr>
      </w:pPr>
      <w:bookmarkStart w:id="31" w:name="_Toc18242"/>
      <w:r>
        <w:rPr>
          <w:rFonts w:hint="eastAsia" w:ascii="Times New Roman" w:hAnsi="Times New Roman" w:eastAsia="黑体" w:cs="Times New Roman"/>
          <w:b w:val="0"/>
          <w:color w:val="000000"/>
          <w:kern w:val="44"/>
          <w:sz w:val="32"/>
          <w:szCs w:val="44"/>
          <w:lang w:bidi="ar-SA"/>
        </w:rPr>
        <w:t>第三章</w:t>
      </w:r>
      <w:r>
        <w:t>合同条款及格式
</w:t>
      </w:r>
      <w:bookmarkEnd w:id="31"/>
    </w:p>
    <w:p w14:paraId="15CF11EC">
      <w:pPr>
        <w:pageBreakBefore w:val="0"/>
        <w:kinsoku/>
        <w:overflowPunct/>
        <w:topLinePunct w:val="0"/>
        <w:autoSpaceDE/>
        <w:autoSpaceDN/>
        <w:bidi w:val="0"/>
        <w:adjustRightInd w:val="0"/>
        <w:snapToGrid w:val="0"/>
        <w:spacing w:afterLines="0" w:line="560" w:lineRule="exact"/>
        <w:ind w:firstLine="480" w:firstLineChars="200"/>
        <w:textAlignment w:val="auto"/>
        <w:rPr>
          <w:rFonts w:hint="eastAsia" w:asciiTheme="minorEastAsia" w:hAnsiTheme="minorEastAsia" w:eastAsiaTheme="minorEastAsia" w:cstheme="minorEastAsia"/>
          <w:b w:val="0"/>
          <w:bCs w:val="0"/>
          <w:color w:val="auto"/>
          <w:sz w:val="24"/>
          <w:szCs w:val="24"/>
        </w:rPr>
      </w:pPr>
      <w:bookmarkStart w:id="32" w:name="_Toc2239"/>
      <w:r>
        <w:rPr>
          <w:rFonts w:hint="eastAsia" w:asciiTheme="minorEastAsia" w:hAnsiTheme="minorEastAsia" w:eastAsiaTheme="minorEastAsia" w:cstheme="minorEastAsia"/>
          <w:b w:val="0"/>
          <w:bCs w:val="0"/>
          <w:color w:val="auto"/>
          <w:sz w:val="24"/>
          <w:szCs w:val="24"/>
          <w:u w:val="none"/>
          <w:lang w:val="en-US" w:eastAsia="zh-CN"/>
        </w:rPr>
        <w:t>内蒙古交通物资有限责任公司</w:t>
      </w:r>
      <w:r>
        <w:rPr>
          <w:rFonts w:hint="eastAsia" w:asciiTheme="minorEastAsia" w:hAnsiTheme="minorEastAsia" w:eastAsiaTheme="minorEastAsia" w:cstheme="minorEastAsia"/>
          <w:b w:val="0"/>
          <w:bCs w:val="0"/>
          <w:color w:val="auto"/>
          <w:sz w:val="24"/>
          <w:szCs w:val="24"/>
          <w:lang w:eastAsia="zh-CN"/>
        </w:rPr>
        <w:t>合规</w:t>
      </w:r>
      <w:r>
        <w:rPr>
          <w:rFonts w:hint="eastAsia" w:asciiTheme="minorEastAsia" w:hAnsiTheme="minorEastAsia" w:eastAsiaTheme="minorEastAsia" w:cstheme="minorEastAsia"/>
          <w:b w:val="0"/>
          <w:bCs w:val="0"/>
          <w:color w:val="auto"/>
          <w:sz w:val="24"/>
          <w:szCs w:val="24"/>
          <w:lang w:val="en-US"/>
        </w:rPr>
        <w:t>管理</w:t>
      </w:r>
      <w:r>
        <w:rPr>
          <w:rFonts w:hint="eastAsia" w:asciiTheme="minorEastAsia" w:hAnsiTheme="minorEastAsia" w:eastAsiaTheme="minorEastAsia" w:cstheme="minorEastAsia"/>
          <w:b w:val="0"/>
          <w:bCs w:val="0"/>
          <w:color w:val="auto"/>
          <w:sz w:val="24"/>
          <w:szCs w:val="24"/>
          <w:lang w:eastAsia="zh-CN"/>
        </w:rPr>
        <w:t>体系</w:t>
      </w:r>
      <w:r>
        <w:rPr>
          <w:rFonts w:hint="eastAsia" w:asciiTheme="minorEastAsia" w:hAnsiTheme="minorEastAsia" w:eastAsiaTheme="minorEastAsia" w:cstheme="minorEastAsia"/>
          <w:b w:val="0"/>
          <w:bCs w:val="0"/>
          <w:color w:val="auto"/>
          <w:sz w:val="24"/>
          <w:szCs w:val="24"/>
          <w:lang w:val="en-US"/>
        </w:rPr>
        <w:t>有效性评价</w:t>
      </w:r>
      <w:r>
        <w:rPr>
          <w:rFonts w:hint="eastAsia" w:asciiTheme="minorEastAsia" w:hAnsiTheme="minorEastAsia" w:eastAsiaTheme="minorEastAsia" w:cstheme="minorEastAsia"/>
          <w:b w:val="0"/>
          <w:bCs w:val="0"/>
          <w:color w:val="auto"/>
          <w:sz w:val="24"/>
          <w:szCs w:val="24"/>
          <w:lang w:eastAsia="zh-CN"/>
        </w:rPr>
        <w:t>项目</w:t>
      </w:r>
      <w:r>
        <w:rPr>
          <w:rFonts w:hint="eastAsia" w:asciiTheme="minorEastAsia" w:hAnsiTheme="minorEastAsia" w:eastAsiaTheme="minorEastAsia" w:cstheme="minorEastAsia"/>
          <w:b w:val="0"/>
          <w:bCs w:val="0"/>
          <w:color w:val="auto"/>
          <w:sz w:val="24"/>
          <w:szCs w:val="24"/>
          <w:lang w:val="en-US" w:eastAsia="zh-CN"/>
        </w:rPr>
        <w:t>专项法律服务协议</w:t>
      </w:r>
    </w:p>
    <w:p w14:paraId="54D7BE8D">
      <w:pPr>
        <w:pageBreakBefore w:val="0"/>
        <w:kinsoku/>
        <w:overflowPunct/>
        <w:topLinePunct w:val="0"/>
        <w:autoSpaceDE/>
        <w:autoSpaceDN/>
        <w:bidi w:val="0"/>
        <w:snapToGrid w:val="0"/>
        <w:spacing w:afterLines="0" w:line="56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甲方（委托人）：</w:t>
      </w:r>
      <w:r>
        <w:rPr>
          <w:rFonts w:hint="eastAsia" w:asciiTheme="minorEastAsia" w:hAnsiTheme="minorEastAsia" w:eastAsiaTheme="minorEastAsia" w:cstheme="minorEastAsia"/>
          <w:b w:val="0"/>
          <w:bCs w:val="0"/>
          <w:color w:val="auto"/>
          <w:sz w:val="24"/>
          <w:szCs w:val="24"/>
          <w:lang w:val="en-US" w:eastAsia="zh-CN"/>
        </w:rPr>
        <w:t>内蒙古交通物资有限责任公司</w:t>
      </w:r>
    </w:p>
    <w:p w14:paraId="4547D176">
      <w:pPr>
        <w:pageBreakBefore w:val="0"/>
        <w:kinsoku/>
        <w:overflowPunct/>
        <w:topLinePunct w:val="0"/>
        <w:autoSpaceDE/>
        <w:autoSpaceDN/>
        <w:bidi w:val="0"/>
        <w:snapToGrid w:val="0"/>
        <w:spacing w:afterLines="0" w:line="56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统一社会信用代码：91150100701468837J</w:t>
      </w:r>
    </w:p>
    <w:p w14:paraId="61310020">
      <w:pPr>
        <w:pageBreakBefore w:val="0"/>
        <w:kinsoku/>
        <w:overflowPunct/>
        <w:topLinePunct w:val="0"/>
        <w:autoSpaceDE/>
        <w:autoSpaceDN/>
        <w:bidi w:val="0"/>
        <w:snapToGrid w:val="0"/>
        <w:spacing w:afterLines="0" w:line="560" w:lineRule="exact"/>
        <w:ind w:firstLine="480" w:firstLineChars="200"/>
        <w:textAlignment w:val="auto"/>
        <w:rPr>
          <w:rFonts w:hint="eastAsia" w:asciiTheme="minorEastAsia" w:hAnsiTheme="minorEastAsia" w:eastAsiaTheme="minorEastAsia" w:cstheme="minorEastAsia"/>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法定代表人：孟国君</w:t>
      </w:r>
    </w:p>
    <w:p w14:paraId="328AFB69">
      <w:pPr>
        <w:pageBreakBefore w:val="0"/>
        <w:kinsoku/>
        <w:overflowPunct/>
        <w:topLinePunct w:val="0"/>
        <w:autoSpaceDE/>
        <w:autoSpaceDN/>
        <w:bidi w:val="0"/>
        <w:snapToGrid w:val="0"/>
        <w:spacing w:afterLines="0" w:line="56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乙方（受托人）：</w:t>
      </w:r>
    </w:p>
    <w:p w14:paraId="571813ED">
      <w:pPr>
        <w:pageBreakBefore w:val="0"/>
        <w:kinsoku/>
        <w:overflowPunct/>
        <w:topLinePunct w:val="0"/>
        <w:autoSpaceDE/>
        <w:autoSpaceDN/>
        <w:bidi w:val="0"/>
        <w:snapToGrid w:val="0"/>
        <w:spacing w:afterLines="0" w:line="56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统一社会信用代码：</w:t>
      </w:r>
    </w:p>
    <w:p w14:paraId="51E8AD4B">
      <w:pPr>
        <w:pageBreakBefore w:val="0"/>
        <w:kinsoku/>
        <w:overflowPunct/>
        <w:topLinePunct w:val="0"/>
        <w:autoSpaceDE/>
        <w:autoSpaceDN/>
        <w:bidi w:val="0"/>
        <w:snapToGrid w:val="0"/>
        <w:spacing w:afterLines="0" w:line="560" w:lineRule="exact"/>
        <w:ind w:firstLine="480"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负责人：</w:t>
      </w:r>
    </w:p>
    <w:p w14:paraId="398AC897">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响应《自治区国资委监管企业合规管理工作方案（2023—2025年）》关于合规管理体系持续改进的工作要求，依据《内蒙古交通集团有限公司关于开展合规有效性评价工作的通知》，甲方拟继续委托乙方开展合规管理体系有效性评价专项工作。现就甲方委托乙方提供本次</w:t>
      </w:r>
      <w:r>
        <w:rPr>
          <w:rFonts w:hint="eastAsia" w:asciiTheme="minorEastAsia" w:hAnsiTheme="minorEastAsia" w:eastAsiaTheme="minorEastAsia" w:cstheme="minorEastAsia"/>
          <w:sz w:val="24"/>
          <w:szCs w:val="24"/>
          <w:lang w:val="en-US"/>
        </w:rPr>
        <w:t>专项服务</w:t>
      </w:r>
      <w:r>
        <w:rPr>
          <w:rFonts w:hint="eastAsia" w:asciiTheme="minorEastAsia" w:hAnsiTheme="minorEastAsia" w:eastAsiaTheme="minorEastAsia" w:cstheme="minorEastAsia"/>
          <w:sz w:val="24"/>
          <w:szCs w:val="24"/>
          <w:lang w:val="en-US" w:eastAsia="zh-CN"/>
        </w:rPr>
        <w:t>约定如下：</w:t>
      </w:r>
    </w:p>
    <w:p w14:paraId="576472CC">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第一条：项目名称</w:t>
      </w:r>
    </w:p>
    <w:p w14:paraId="2400469E">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u w:val="none"/>
          <w:lang w:val="en-US" w:eastAsia="zh-CN"/>
        </w:rPr>
        <w:t>内蒙古交通物资有限责任公司</w:t>
      </w:r>
      <w:r>
        <w:rPr>
          <w:rFonts w:hint="eastAsia" w:asciiTheme="minorEastAsia" w:hAnsiTheme="minorEastAsia" w:eastAsiaTheme="minorEastAsia" w:cstheme="minorEastAsia"/>
          <w:b w:val="0"/>
          <w:bCs w:val="0"/>
          <w:sz w:val="24"/>
          <w:szCs w:val="24"/>
          <w:lang w:eastAsia="zh-Hans"/>
        </w:rPr>
        <w:t>合规</w:t>
      </w:r>
      <w:r>
        <w:rPr>
          <w:rFonts w:hint="eastAsia" w:asciiTheme="minorEastAsia" w:hAnsiTheme="minorEastAsia" w:eastAsiaTheme="minorEastAsia" w:cstheme="minorEastAsia"/>
          <w:b w:val="0"/>
          <w:bCs w:val="0"/>
          <w:sz w:val="24"/>
          <w:szCs w:val="24"/>
          <w:lang w:val="en-US"/>
        </w:rPr>
        <w:t>管理</w:t>
      </w:r>
      <w:r>
        <w:rPr>
          <w:rFonts w:hint="eastAsia" w:asciiTheme="minorEastAsia" w:hAnsiTheme="minorEastAsia" w:eastAsiaTheme="minorEastAsia" w:cstheme="minorEastAsia"/>
          <w:b w:val="0"/>
          <w:bCs w:val="0"/>
          <w:sz w:val="24"/>
          <w:szCs w:val="24"/>
          <w:lang w:eastAsia="zh-Hans"/>
        </w:rPr>
        <w:t>体系</w:t>
      </w:r>
      <w:r>
        <w:rPr>
          <w:rFonts w:hint="eastAsia" w:asciiTheme="minorEastAsia" w:hAnsiTheme="minorEastAsia" w:eastAsiaTheme="minorEastAsia" w:cstheme="minorEastAsia"/>
          <w:b w:val="0"/>
          <w:bCs w:val="0"/>
          <w:sz w:val="24"/>
          <w:szCs w:val="24"/>
          <w:lang w:val="en-US"/>
        </w:rPr>
        <w:t>有效性评价</w:t>
      </w:r>
      <w:r>
        <w:rPr>
          <w:rFonts w:hint="eastAsia" w:asciiTheme="minorEastAsia" w:hAnsiTheme="minorEastAsia" w:eastAsiaTheme="minorEastAsia" w:cstheme="minorEastAsia"/>
          <w:b w:val="0"/>
          <w:bCs w:val="0"/>
          <w:sz w:val="24"/>
          <w:szCs w:val="24"/>
          <w:lang w:eastAsia="zh-Hans"/>
        </w:rPr>
        <w:t>项目</w:t>
      </w:r>
      <w:r>
        <w:rPr>
          <w:rFonts w:hint="eastAsia" w:asciiTheme="minorEastAsia" w:hAnsiTheme="minorEastAsia" w:eastAsiaTheme="minorEastAsia" w:cstheme="minorEastAsia"/>
          <w:b w:val="0"/>
          <w:bCs w:val="0"/>
          <w:sz w:val="24"/>
          <w:szCs w:val="24"/>
          <w:lang w:eastAsia="zh-CN"/>
        </w:rPr>
        <w:t>。</w:t>
      </w:r>
    </w:p>
    <w:p w14:paraId="52AEDED7">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第二条：项目内容</w:t>
      </w:r>
    </w:p>
    <w:p w14:paraId="7D8BA81F">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rPr>
        <w:t>甲方</w:t>
      </w:r>
      <w:r>
        <w:rPr>
          <w:rFonts w:hint="eastAsia" w:asciiTheme="minorEastAsia" w:hAnsiTheme="minorEastAsia" w:eastAsiaTheme="minorEastAsia" w:cstheme="minorEastAsia"/>
          <w:b w:val="0"/>
          <w:bCs w:val="0"/>
          <w:sz w:val="24"/>
          <w:szCs w:val="24"/>
          <w:lang w:eastAsia="zh-Hans"/>
        </w:rPr>
        <w:t>委托</w:t>
      </w:r>
      <w:r>
        <w:rPr>
          <w:rFonts w:hint="eastAsia" w:asciiTheme="minorEastAsia" w:hAnsiTheme="minorEastAsia" w:eastAsiaTheme="minorEastAsia" w:cstheme="minorEastAsia"/>
          <w:b w:val="0"/>
          <w:bCs w:val="0"/>
          <w:sz w:val="24"/>
          <w:szCs w:val="24"/>
        </w:rPr>
        <w:t>乙方</w:t>
      </w:r>
      <w:r>
        <w:rPr>
          <w:rFonts w:hint="eastAsia" w:asciiTheme="minorEastAsia" w:hAnsiTheme="minorEastAsia" w:eastAsiaTheme="minorEastAsia" w:cstheme="minorEastAsia"/>
          <w:b w:val="0"/>
          <w:bCs w:val="0"/>
          <w:sz w:val="24"/>
          <w:szCs w:val="24"/>
          <w:lang w:val="en-US"/>
        </w:rPr>
        <w:t>严格遵循《自治区国资委监管企业合规管理工作方案</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rPr>
        <w:t>2023—2025年</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rPr>
        <w:t>》各项具体要求，依法依规开展本次</w:t>
      </w:r>
      <w:r>
        <w:rPr>
          <w:rFonts w:hint="eastAsia" w:asciiTheme="minorEastAsia" w:hAnsiTheme="minorEastAsia" w:eastAsiaTheme="minorEastAsia" w:cstheme="minorEastAsia"/>
          <w:b w:val="0"/>
          <w:bCs w:val="0"/>
          <w:sz w:val="24"/>
          <w:szCs w:val="24"/>
          <w:lang w:eastAsia="zh-Hans"/>
        </w:rPr>
        <w:t>合规</w:t>
      </w:r>
      <w:r>
        <w:rPr>
          <w:rFonts w:hint="eastAsia" w:asciiTheme="minorEastAsia" w:hAnsiTheme="minorEastAsia" w:eastAsiaTheme="minorEastAsia" w:cstheme="minorEastAsia"/>
          <w:b w:val="0"/>
          <w:bCs w:val="0"/>
          <w:sz w:val="24"/>
          <w:szCs w:val="24"/>
          <w:lang w:val="en-US"/>
        </w:rPr>
        <w:t>管理</w:t>
      </w:r>
      <w:r>
        <w:rPr>
          <w:rFonts w:hint="eastAsia" w:asciiTheme="minorEastAsia" w:hAnsiTheme="minorEastAsia" w:eastAsiaTheme="minorEastAsia" w:cstheme="minorEastAsia"/>
          <w:b w:val="0"/>
          <w:bCs w:val="0"/>
          <w:sz w:val="24"/>
          <w:szCs w:val="24"/>
          <w:lang w:eastAsia="zh-Hans"/>
        </w:rPr>
        <w:t>体系</w:t>
      </w:r>
      <w:r>
        <w:rPr>
          <w:rFonts w:hint="eastAsia" w:asciiTheme="minorEastAsia" w:hAnsiTheme="minorEastAsia" w:eastAsiaTheme="minorEastAsia" w:cstheme="minorEastAsia"/>
          <w:b w:val="0"/>
          <w:bCs w:val="0"/>
          <w:sz w:val="24"/>
          <w:szCs w:val="24"/>
          <w:lang w:val="en-US"/>
        </w:rPr>
        <w:t>有效性评价专项</w:t>
      </w:r>
      <w:r>
        <w:rPr>
          <w:rFonts w:hint="eastAsia" w:asciiTheme="minorEastAsia" w:hAnsiTheme="minorEastAsia" w:eastAsiaTheme="minorEastAsia" w:cstheme="minorEastAsia"/>
          <w:b w:val="0"/>
          <w:bCs w:val="0"/>
          <w:sz w:val="24"/>
          <w:szCs w:val="24"/>
          <w:lang w:eastAsia="zh-Hans"/>
        </w:rPr>
        <w:t>服务。</w:t>
      </w:r>
    </w:p>
    <w:p w14:paraId="7ED864F7">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第三条：项目目标</w:t>
      </w:r>
    </w:p>
    <w:p w14:paraId="385D9454">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根据</w:t>
      </w:r>
      <w:r>
        <w:rPr>
          <w:rFonts w:hint="eastAsia" w:asciiTheme="minorEastAsia" w:hAnsiTheme="minorEastAsia" w:eastAsiaTheme="minorEastAsia" w:cstheme="minorEastAsia"/>
          <w:b w:val="0"/>
          <w:bCs w:val="0"/>
          <w:sz w:val="24"/>
          <w:szCs w:val="24"/>
          <w:lang w:val="en-US"/>
        </w:rPr>
        <w:t>《自治区国资委监管企业合规管理工作方案</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rPr>
        <w:t>2023—2025年</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rPr>
        <w:t>》</w:t>
      </w:r>
      <w:r>
        <w:rPr>
          <w:rFonts w:hint="eastAsia" w:asciiTheme="minorEastAsia" w:hAnsiTheme="minorEastAsia" w:eastAsiaTheme="minorEastAsia" w:cstheme="minorEastAsia"/>
          <w:b w:val="0"/>
          <w:bCs w:val="0"/>
          <w:sz w:val="24"/>
          <w:szCs w:val="24"/>
        </w:rPr>
        <w:t>及</w:t>
      </w:r>
      <w:r>
        <w:rPr>
          <w:rFonts w:hint="eastAsia" w:asciiTheme="minorEastAsia" w:hAnsiTheme="minorEastAsia" w:eastAsiaTheme="minorEastAsia" w:cstheme="minorEastAsia"/>
          <w:b w:val="0"/>
          <w:bCs w:val="0"/>
          <w:sz w:val="24"/>
          <w:szCs w:val="24"/>
          <w:lang w:eastAsia="zh-Hans"/>
        </w:rPr>
        <w:t>甲方</w:t>
      </w:r>
      <w:r>
        <w:rPr>
          <w:rFonts w:hint="eastAsia" w:asciiTheme="minorEastAsia" w:hAnsiTheme="minorEastAsia" w:eastAsiaTheme="minorEastAsia" w:cstheme="minorEastAsia"/>
          <w:b w:val="0"/>
          <w:bCs w:val="0"/>
          <w:sz w:val="24"/>
          <w:szCs w:val="24"/>
          <w:lang w:val="en-US"/>
        </w:rPr>
        <w:t>委托需求</w:t>
      </w:r>
      <w:r>
        <w:rPr>
          <w:rFonts w:hint="eastAsia" w:asciiTheme="minorEastAsia" w:hAnsiTheme="minorEastAsia" w:eastAsiaTheme="minorEastAsia" w:cstheme="minorEastAsia"/>
          <w:b w:val="0"/>
          <w:bCs w:val="0"/>
          <w:sz w:val="24"/>
          <w:szCs w:val="24"/>
          <w:lang w:eastAsia="zh-Hans"/>
        </w:rPr>
        <w:t>，合规管理部门</w:t>
      </w:r>
      <w:r>
        <w:rPr>
          <w:rFonts w:hint="eastAsia" w:asciiTheme="minorEastAsia" w:hAnsiTheme="minorEastAsia" w:eastAsiaTheme="minorEastAsia" w:cstheme="minorEastAsia"/>
          <w:b w:val="0"/>
          <w:bCs w:val="0"/>
          <w:sz w:val="24"/>
          <w:szCs w:val="24"/>
          <w:lang w:val="en-US"/>
        </w:rPr>
        <w:t>需要</w:t>
      </w:r>
      <w:r>
        <w:rPr>
          <w:rFonts w:hint="eastAsia" w:asciiTheme="minorEastAsia" w:hAnsiTheme="minorEastAsia" w:eastAsiaTheme="minorEastAsia" w:cstheme="minorEastAsia"/>
          <w:b w:val="0"/>
          <w:bCs w:val="0"/>
          <w:sz w:val="24"/>
          <w:szCs w:val="24"/>
          <w:lang w:eastAsia="zh-Hans"/>
        </w:rPr>
        <w:t>定期对合规管理体系开展有效性评价。包含对所属企业和员工合规职责履行情况、对重点业务合规管理情况等进行评价</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rPr>
        <w:t>据此，本项目旨在由乙方受托为甲方提供2025年度合规管理体系有效性评价工作，并指导甲方开展自评工作。以严格响应国资委及集团公司关于合规管理体系有效性评价工作的开展及成果交付要求。</w:t>
      </w:r>
    </w:p>
    <w:p w14:paraId="1FBF7ED5">
      <w:pPr>
        <w:pStyle w:val="11"/>
        <w:keepNext w:val="0"/>
        <w:keepLines w:val="0"/>
        <w:pageBreakBefore w:val="0"/>
        <w:widowControl w:val="0"/>
        <w:kinsoku/>
        <w:wordWrap/>
        <w:overflowPunct/>
        <w:topLinePunct w:val="0"/>
        <w:autoSpaceDE/>
        <w:autoSpaceDN/>
        <w:bidi w:val="0"/>
        <w:adjustRightInd w:val="0"/>
        <w:snapToGrid w:val="0"/>
        <w:spacing w:before="0" w:after="0"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Hans"/>
        </w:rPr>
        <w:t>第四条：项目</w:t>
      </w:r>
      <w:r>
        <w:rPr>
          <w:rFonts w:hint="eastAsia" w:asciiTheme="minorEastAsia" w:hAnsiTheme="minorEastAsia" w:eastAsiaTheme="minorEastAsia" w:cstheme="minorEastAsia"/>
          <w:b w:val="0"/>
          <w:bCs w:val="0"/>
          <w:sz w:val="24"/>
          <w:szCs w:val="24"/>
          <w:lang w:val="en-US" w:eastAsia="zh-CN"/>
        </w:rPr>
        <w:t>时间</w:t>
      </w:r>
    </w:p>
    <w:p w14:paraId="1959EAF7">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rPr>
        <w:t>自本协议订立之日起至</w:t>
      </w:r>
      <w:r>
        <w:rPr>
          <w:rFonts w:hint="eastAsia" w:asciiTheme="minorEastAsia" w:hAnsiTheme="minorEastAsia" w:eastAsiaTheme="minorEastAsia" w:cstheme="minorEastAsia"/>
          <w:b w:val="0"/>
          <w:bCs w:val="0"/>
          <w:sz w:val="24"/>
          <w:szCs w:val="24"/>
          <w:lang w:val="en-US" w:eastAsia="zh-CN"/>
        </w:rPr>
        <w:t>履约完成</w:t>
      </w:r>
      <w:r>
        <w:rPr>
          <w:rFonts w:hint="eastAsia" w:asciiTheme="minorEastAsia" w:hAnsiTheme="minorEastAsia" w:eastAsiaTheme="minorEastAsia" w:cstheme="minorEastAsia"/>
          <w:b w:val="0"/>
          <w:bCs w:val="0"/>
          <w:sz w:val="24"/>
          <w:szCs w:val="24"/>
          <w:lang w:val="en-US"/>
        </w:rPr>
        <w:t>时。</w:t>
      </w:r>
    </w:p>
    <w:p w14:paraId="18BF68F4">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项目具体阶段计划如下，其中第1至第5阶段，可以穿插进行：</w:t>
      </w:r>
    </w:p>
    <w:p w14:paraId="30A9108D">
      <w:pPr>
        <w:keepNext w:val="0"/>
        <w:keepLines w:val="0"/>
        <w:pageBreakBefore w:val="0"/>
        <w:widowControl w:val="0"/>
        <w:numPr>
          <w:ilvl w:val="0"/>
          <w:numId w:val="13"/>
        </w:numPr>
        <w:tabs>
          <w:tab w:val="left" w:pos="312"/>
        </w:tabs>
        <w:kinsoku/>
        <w:wordWrap/>
        <w:overflowPunct/>
        <w:topLinePunct w:val="0"/>
        <w:autoSpaceDE/>
        <w:autoSpaceDN/>
        <w:bidi w:val="0"/>
        <w:adjustRightInd w:val="0"/>
        <w:snapToGrid w:val="0"/>
        <w:spacing w:afterLines="0" w:line="560" w:lineRule="exact"/>
        <w:ind w:left="1265"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签约阶段；</w:t>
      </w:r>
    </w:p>
    <w:p w14:paraId="35712CE1">
      <w:pPr>
        <w:keepNext w:val="0"/>
        <w:keepLines w:val="0"/>
        <w:pageBreakBefore w:val="0"/>
        <w:widowControl w:val="0"/>
        <w:numPr>
          <w:ilvl w:val="0"/>
          <w:numId w:val="13"/>
        </w:numPr>
        <w:tabs>
          <w:tab w:val="left" w:pos="312"/>
        </w:tabs>
        <w:kinsoku/>
        <w:wordWrap/>
        <w:overflowPunct/>
        <w:topLinePunct w:val="0"/>
        <w:autoSpaceDE/>
        <w:autoSpaceDN/>
        <w:bidi w:val="0"/>
        <w:adjustRightInd w:val="0"/>
        <w:snapToGrid w:val="0"/>
        <w:spacing w:afterLines="0" w:line="560" w:lineRule="exact"/>
        <w:ind w:left="1265"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自评价阶段；</w:t>
      </w:r>
    </w:p>
    <w:p w14:paraId="7877EE28">
      <w:pPr>
        <w:keepNext w:val="0"/>
        <w:keepLines w:val="0"/>
        <w:pageBreakBefore w:val="0"/>
        <w:widowControl w:val="0"/>
        <w:numPr>
          <w:ilvl w:val="0"/>
          <w:numId w:val="13"/>
        </w:numPr>
        <w:tabs>
          <w:tab w:val="left" w:pos="312"/>
        </w:tabs>
        <w:kinsoku/>
        <w:wordWrap/>
        <w:overflowPunct/>
        <w:topLinePunct w:val="0"/>
        <w:autoSpaceDE/>
        <w:autoSpaceDN/>
        <w:bidi w:val="0"/>
        <w:adjustRightInd w:val="0"/>
        <w:snapToGrid w:val="0"/>
        <w:spacing w:afterLines="0" w:line="560" w:lineRule="exact"/>
        <w:ind w:left="1265"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资料收集与分析阶段；</w:t>
      </w:r>
    </w:p>
    <w:p w14:paraId="6ECFDFDF">
      <w:pPr>
        <w:keepNext w:val="0"/>
        <w:keepLines w:val="0"/>
        <w:pageBreakBefore w:val="0"/>
        <w:widowControl w:val="0"/>
        <w:numPr>
          <w:ilvl w:val="0"/>
          <w:numId w:val="13"/>
        </w:numPr>
        <w:tabs>
          <w:tab w:val="left" w:pos="312"/>
        </w:tabs>
        <w:kinsoku/>
        <w:wordWrap/>
        <w:overflowPunct/>
        <w:topLinePunct w:val="0"/>
        <w:autoSpaceDE/>
        <w:autoSpaceDN/>
        <w:bidi w:val="0"/>
        <w:adjustRightInd w:val="0"/>
        <w:snapToGrid w:val="0"/>
        <w:spacing w:afterLines="0" w:line="560" w:lineRule="exact"/>
        <w:ind w:left="1265"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访谈与现场资料核查阶段（包括资料抽查、穿行测试等）；</w:t>
      </w:r>
    </w:p>
    <w:p w14:paraId="25ECF267">
      <w:pPr>
        <w:keepNext w:val="0"/>
        <w:keepLines w:val="0"/>
        <w:pageBreakBefore w:val="0"/>
        <w:widowControl w:val="0"/>
        <w:numPr>
          <w:ilvl w:val="0"/>
          <w:numId w:val="13"/>
        </w:numPr>
        <w:tabs>
          <w:tab w:val="left" w:pos="312"/>
        </w:tabs>
        <w:kinsoku/>
        <w:wordWrap/>
        <w:overflowPunct/>
        <w:topLinePunct w:val="0"/>
        <w:autoSpaceDE/>
        <w:autoSpaceDN/>
        <w:bidi w:val="0"/>
        <w:adjustRightInd w:val="0"/>
        <w:snapToGrid w:val="0"/>
        <w:spacing w:afterLines="0" w:line="560" w:lineRule="exact"/>
        <w:ind w:left="1265"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补充资料提供与问题澄清阶段；</w:t>
      </w:r>
    </w:p>
    <w:p w14:paraId="36BCCF93">
      <w:pPr>
        <w:keepNext w:val="0"/>
        <w:keepLines w:val="0"/>
        <w:pageBreakBefore w:val="0"/>
        <w:widowControl w:val="0"/>
        <w:numPr>
          <w:ilvl w:val="0"/>
          <w:numId w:val="13"/>
        </w:numPr>
        <w:tabs>
          <w:tab w:val="left" w:pos="312"/>
        </w:tabs>
        <w:kinsoku/>
        <w:wordWrap/>
        <w:overflowPunct/>
        <w:topLinePunct w:val="0"/>
        <w:autoSpaceDE/>
        <w:autoSpaceDN/>
        <w:bidi w:val="0"/>
        <w:adjustRightInd w:val="0"/>
        <w:snapToGrid w:val="0"/>
        <w:spacing w:afterLines="0" w:line="560" w:lineRule="exact"/>
        <w:ind w:left="1265"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有效性评价阶段。</w:t>
      </w:r>
    </w:p>
    <w:p w14:paraId="202D8934">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Chars="0" w:firstLine="480" w:firstLineChars="200"/>
        <w:jc w:val="both"/>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协议签订后15个工作日内应完成以上全部工作。</w:t>
      </w:r>
    </w:p>
    <w:p w14:paraId="6E3089A6">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w:t>
      </w:r>
      <w:r>
        <w:rPr>
          <w:rFonts w:hint="eastAsia" w:asciiTheme="minorEastAsia" w:hAnsiTheme="minorEastAsia" w:eastAsiaTheme="minorEastAsia" w:cstheme="minorEastAsia"/>
          <w:b w:val="0"/>
          <w:bCs w:val="0"/>
          <w:sz w:val="24"/>
          <w:szCs w:val="24"/>
          <w:lang w:val="en-US"/>
        </w:rPr>
        <w:t>五</w:t>
      </w:r>
      <w:r>
        <w:rPr>
          <w:rFonts w:hint="eastAsia" w:asciiTheme="minorEastAsia" w:hAnsiTheme="minorEastAsia" w:eastAsiaTheme="minorEastAsia" w:cstheme="minorEastAsia"/>
          <w:b w:val="0"/>
          <w:bCs w:val="0"/>
          <w:sz w:val="24"/>
          <w:szCs w:val="24"/>
          <w:lang w:eastAsia="zh-Hans"/>
        </w:rPr>
        <w:t>条：甲方的权利和义务</w:t>
      </w:r>
    </w:p>
    <w:p w14:paraId="6EF8C913">
      <w:pPr>
        <w:keepNext w:val="0"/>
        <w:keepLines w:val="0"/>
        <w:pageBreakBefore w:val="0"/>
        <w:widowControl w:val="0"/>
        <w:numPr>
          <w:ilvl w:val="0"/>
          <w:numId w:val="14"/>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按时提供乙方所需各项的材料，保证其真实、合法、有效。</w:t>
      </w:r>
    </w:p>
    <w:p w14:paraId="0FC229EE">
      <w:pPr>
        <w:keepNext w:val="0"/>
        <w:keepLines w:val="0"/>
        <w:pageBreakBefore w:val="0"/>
        <w:widowControl w:val="0"/>
        <w:numPr>
          <w:ilvl w:val="0"/>
          <w:numId w:val="14"/>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要求乙方按时、按质、按量完成本项目。</w:t>
      </w:r>
    </w:p>
    <w:p w14:paraId="7DD4B740">
      <w:pPr>
        <w:keepNext w:val="0"/>
        <w:keepLines w:val="0"/>
        <w:pageBreakBefore w:val="0"/>
        <w:widowControl w:val="0"/>
        <w:numPr>
          <w:ilvl w:val="0"/>
          <w:numId w:val="14"/>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按时向乙方支付</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约定的</w:t>
      </w:r>
      <w:r>
        <w:rPr>
          <w:rFonts w:hint="eastAsia" w:asciiTheme="minorEastAsia" w:hAnsiTheme="minorEastAsia" w:eastAsiaTheme="minorEastAsia" w:cstheme="minorEastAsia"/>
          <w:b w:val="0"/>
          <w:bCs w:val="0"/>
          <w:sz w:val="24"/>
          <w:szCs w:val="24"/>
        </w:rPr>
        <w:t>专项</w:t>
      </w:r>
      <w:r>
        <w:rPr>
          <w:rFonts w:hint="eastAsia" w:asciiTheme="minorEastAsia" w:hAnsiTheme="minorEastAsia" w:eastAsiaTheme="minorEastAsia" w:cstheme="minorEastAsia"/>
          <w:b w:val="0"/>
          <w:bCs w:val="0"/>
          <w:sz w:val="24"/>
          <w:szCs w:val="24"/>
          <w:lang w:eastAsia="zh-Hans"/>
        </w:rPr>
        <w:t>服务费用。</w:t>
      </w:r>
    </w:p>
    <w:p w14:paraId="6EE00229">
      <w:pPr>
        <w:keepNext w:val="0"/>
        <w:keepLines w:val="0"/>
        <w:pageBreakBefore w:val="0"/>
        <w:widowControl w:val="0"/>
        <w:numPr>
          <w:ilvl w:val="0"/>
          <w:numId w:val="14"/>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按确定的阶段计划积极配合乙方工作，完成计划中明确的甲方应做的工作；根据项目的需要，确保各阶段所必需的人力资源以及为保证项目顺利实施所必需的其他资源。承诺并保证，甲方相关关键管理人员将配合乙方要求，接受或参加为完成本</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服务内容而进行的必要的访谈、会议。</w:t>
      </w:r>
    </w:p>
    <w:p w14:paraId="1CF03398">
      <w:pPr>
        <w:keepNext w:val="0"/>
        <w:keepLines w:val="0"/>
        <w:pageBreakBefore w:val="0"/>
        <w:widowControl w:val="0"/>
        <w:numPr>
          <w:ilvl w:val="0"/>
          <w:numId w:val="14"/>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根据项目进度，及时对方案</w:t>
      </w:r>
      <w:r>
        <w:rPr>
          <w:rFonts w:hint="eastAsia" w:asciiTheme="minorEastAsia" w:hAnsiTheme="minorEastAsia" w:eastAsiaTheme="minorEastAsia" w:cstheme="minorEastAsia"/>
          <w:b w:val="0"/>
          <w:bCs w:val="0"/>
          <w:sz w:val="24"/>
          <w:szCs w:val="24"/>
          <w:lang w:eastAsia="zh-CN"/>
        </w:rPr>
        <w:t>提出</w:t>
      </w:r>
      <w:r>
        <w:rPr>
          <w:rFonts w:hint="eastAsia" w:asciiTheme="minorEastAsia" w:hAnsiTheme="minorEastAsia" w:eastAsiaTheme="minorEastAsia" w:cstheme="minorEastAsia"/>
          <w:b w:val="0"/>
          <w:bCs w:val="0"/>
          <w:sz w:val="24"/>
          <w:szCs w:val="24"/>
          <w:lang w:eastAsia="zh-Hans"/>
        </w:rPr>
        <w:t>修改意见，要求乙方按修改意见完成修订工作。</w:t>
      </w:r>
    </w:p>
    <w:p w14:paraId="6061E85C">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w:t>
      </w:r>
      <w:r>
        <w:rPr>
          <w:rFonts w:hint="eastAsia" w:asciiTheme="minorEastAsia" w:hAnsiTheme="minorEastAsia" w:eastAsiaTheme="minorEastAsia" w:cstheme="minorEastAsia"/>
          <w:b w:val="0"/>
          <w:bCs w:val="0"/>
          <w:sz w:val="24"/>
          <w:szCs w:val="24"/>
          <w:lang w:val="en-US"/>
        </w:rPr>
        <w:t>六</w:t>
      </w:r>
      <w:r>
        <w:rPr>
          <w:rFonts w:hint="eastAsia" w:asciiTheme="minorEastAsia" w:hAnsiTheme="minorEastAsia" w:eastAsiaTheme="minorEastAsia" w:cstheme="minorEastAsia"/>
          <w:b w:val="0"/>
          <w:bCs w:val="0"/>
          <w:sz w:val="24"/>
          <w:szCs w:val="24"/>
          <w:lang w:eastAsia="zh-Hans"/>
        </w:rPr>
        <w:t>条：乙方的权利和义务</w:t>
      </w:r>
    </w:p>
    <w:p w14:paraId="1C6D8B8C">
      <w:pPr>
        <w:keepNext w:val="0"/>
        <w:keepLines w:val="0"/>
        <w:pageBreakBefore w:val="0"/>
        <w:widowControl w:val="0"/>
        <w:numPr>
          <w:ilvl w:val="0"/>
          <w:numId w:val="15"/>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需在甲乙双方书面确定的进度</w:t>
      </w:r>
      <w:r>
        <w:rPr>
          <w:rFonts w:hint="eastAsia" w:asciiTheme="minorEastAsia" w:hAnsiTheme="minorEastAsia" w:eastAsiaTheme="minorEastAsia" w:cstheme="minorEastAsia"/>
          <w:b w:val="0"/>
          <w:bCs w:val="0"/>
          <w:sz w:val="24"/>
          <w:szCs w:val="24"/>
          <w:lang w:val="en-US"/>
        </w:rPr>
        <w:t>计</w:t>
      </w:r>
      <w:r>
        <w:rPr>
          <w:rFonts w:hint="eastAsia" w:asciiTheme="minorEastAsia" w:hAnsiTheme="minorEastAsia" w:eastAsiaTheme="minorEastAsia" w:cstheme="minorEastAsia"/>
          <w:b w:val="0"/>
          <w:bCs w:val="0"/>
          <w:sz w:val="24"/>
          <w:szCs w:val="24"/>
          <w:lang w:eastAsia="zh-Hans"/>
        </w:rPr>
        <w:t>划指定期限内完成符合甲方要求的工作并交甲方验收，但因甲方原因</w:t>
      </w:r>
      <w:r>
        <w:rPr>
          <w:rFonts w:hint="eastAsia" w:asciiTheme="minorEastAsia" w:hAnsiTheme="minorEastAsia" w:eastAsiaTheme="minorEastAsia" w:cstheme="minorEastAsia"/>
          <w:b w:val="0"/>
          <w:bCs w:val="0"/>
          <w:sz w:val="24"/>
          <w:szCs w:val="24"/>
          <w:lang w:val="en-US"/>
        </w:rPr>
        <w:t>或其他法律、政策原因</w:t>
      </w:r>
      <w:r>
        <w:rPr>
          <w:rFonts w:hint="eastAsia" w:asciiTheme="minorEastAsia" w:hAnsiTheme="minorEastAsia" w:eastAsiaTheme="minorEastAsia" w:cstheme="minorEastAsia"/>
          <w:b w:val="0"/>
          <w:bCs w:val="0"/>
          <w:sz w:val="24"/>
          <w:szCs w:val="24"/>
          <w:lang w:eastAsia="zh-Hans"/>
        </w:rPr>
        <w:t>导致未能按时完成的除外。</w:t>
      </w:r>
    </w:p>
    <w:p w14:paraId="72D32F27">
      <w:pPr>
        <w:keepNext w:val="0"/>
        <w:keepLines w:val="0"/>
        <w:pageBreakBefore w:val="0"/>
        <w:widowControl w:val="0"/>
        <w:numPr>
          <w:ilvl w:val="0"/>
          <w:numId w:val="15"/>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乙方必须指派</w:t>
      </w:r>
      <w:r>
        <w:rPr>
          <w:rFonts w:hint="eastAsia" w:asciiTheme="minorEastAsia" w:hAnsiTheme="minorEastAsia" w:eastAsiaTheme="minorEastAsia" w:cstheme="minorEastAsia"/>
          <w:b w:val="0"/>
          <w:bCs w:val="0"/>
          <w:sz w:val="24"/>
          <w:szCs w:val="24"/>
        </w:rPr>
        <w:t>服务方案</w:t>
      </w:r>
      <w:r>
        <w:rPr>
          <w:rFonts w:hint="eastAsia" w:asciiTheme="minorEastAsia" w:hAnsiTheme="minorEastAsia" w:eastAsiaTheme="minorEastAsia" w:cstheme="minorEastAsia"/>
          <w:b w:val="0"/>
          <w:bCs w:val="0"/>
          <w:sz w:val="24"/>
          <w:szCs w:val="24"/>
          <w:lang w:eastAsia="zh-Hans"/>
        </w:rPr>
        <w:t>中承诺的且符合甲方项目需求的项目负责人及小组成员负责甲方项目的咨询，如甲方对乙方派</w:t>
      </w:r>
      <w:r>
        <w:rPr>
          <w:rFonts w:hint="eastAsia" w:asciiTheme="minorEastAsia" w:hAnsiTheme="minorEastAsia" w:eastAsiaTheme="minorEastAsia" w:cstheme="minorEastAsia"/>
          <w:b w:val="0"/>
          <w:bCs w:val="0"/>
          <w:sz w:val="24"/>
          <w:szCs w:val="24"/>
          <w:lang w:eastAsia="zh-CN"/>
        </w:rPr>
        <w:t>出</w:t>
      </w:r>
      <w:r>
        <w:rPr>
          <w:rFonts w:hint="eastAsia" w:asciiTheme="minorEastAsia" w:hAnsiTheme="minorEastAsia" w:eastAsiaTheme="minorEastAsia" w:cstheme="minorEastAsia"/>
          <w:b w:val="0"/>
          <w:bCs w:val="0"/>
          <w:sz w:val="24"/>
          <w:szCs w:val="24"/>
          <w:lang w:eastAsia="zh-Hans"/>
        </w:rPr>
        <w:t>的项目人员不满意，乙方必须在甲方指定期限内予以更换，更换后的人员仍需与本条前述要求一致。</w:t>
      </w:r>
    </w:p>
    <w:p w14:paraId="4A9F93B0">
      <w:pPr>
        <w:keepNext w:val="0"/>
        <w:keepLines w:val="0"/>
        <w:pageBreakBefore w:val="0"/>
        <w:widowControl w:val="0"/>
        <w:numPr>
          <w:ilvl w:val="0"/>
          <w:numId w:val="15"/>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乙方要对咨询服务的工作量、正确性、完整性、合法性和及时性负责。乙方需保证在本</w:t>
      </w:r>
      <w:r>
        <w:rPr>
          <w:rFonts w:hint="eastAsia" w:asciiTheme="minorEastAsia" w:hAnsiTheme="minorEastAsia" w:eastAsiaTheme="minorEastAsia" w:cstheme="minorEastAsia"/>
          <w:b w:val="0"/>
          <w:bCs w:val="0"/>
          <w:sz w:val="24"/>
          <w:szCs w:val="24"/>
        </w:rPr>
        <w:t>项目下</w:t>
      </w:r>
      <w:r>
        <w:rPr>
          <w:rFonts w:hint="eastAsia" w:asciiTheme="minorEastAsia" w:hAnsiTheme="minorEastAsia" w:eastAsiaTheme="minorEastAsia" w:cstheme="minorEastAsia"/>
          <w:b w:val="0"/>
          <w:bCs w:val="0"/>
          <w:sz w:val="24"/>
          <w:szCs w:val="24"/>
          <w:lang w:eastAsia="zh-Hans"/>
        </w:rPr>
        <w:t>所提交的工作成果为其独创，未侵犯任何第三人的知识产权。</w:t>
      </w:r>
    </w:p>
    <w:p w14:paraId="05E7D1EE">
      <w:pPr>
        <w:keepNext w:val="0"/>
        <w:keepLines w:val="0"/>
        <w:pageBreakBefore w:val="0"/>
        <w:widowControl w:val="0"/>
        <w:numPr>
          <w:ilvl w:val="0"/>
          <w:numId w:val="15"/>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按</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要求向甲方收取专项法律服务费，并向甲方提供合法有效的增值税专用发票。</w:t>
      </w:r>
    </w:p>
    <w:p w14:paraId="1E16E866">
      <w:pPr>
        <w:keepNext w:val="0"/>
        <w:keepLines w:val="0"/>
        <w:pageBreakBefore w:val="0"/>
        <w:widowControl w:val="0"/>
        <w:numPr>
          <w:ilvl w:val="0"/>
          <w:numId w:val="15"/>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遵守咨询顾问职业道德准则，乙方对在咨询服务过程中所获知的有关甲方经营、管理及技术的、非公开的数据、信息和资料负有严格保密义务，违者应对由此造成的后果承担法律责任。</w:t>
      </w:r>
    </w:p>
    <w:p w14:paraId="0711AADA">
      <w:pPr>
        <w:keepNext w:val="0"/>
        <w:keepLines w:val="0"/>
        <w:pageBreakBefore w:val="0"/>
        <w:widowControl w:val="0"/>
        <w:numPr>
          <w:ilvl w:val="0"/>
          <w:numId w:val="15"/>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乙方对甲方提出的与项目服务有关的需求，应及时</w:t>
      </w:r>
      <w:r>
        <w:rPr>
          <w:rFonts w:hint="eastAsia" w:asciiTheme="minorEastAsia" w:hAnsiTheme="minorEastAsia" w:eastAsiaTheme="minorEastAsia" w:cstheme="minorEastAsia"/>
          <w:b w:val="0"/>
          <w:bCs w:val="0"/>
          <w:sz w:val="24"/>
          <w:szCs w:val="24"/>
        </w:rPr>
        <w:t>采纳</w:t>
      </w:r>
      <w:r>
        <w:rPr>
          <w:rFonts w:hint="eastAsia" w:asciiTheme="minorEastAsia" w:hAnsiTheme="minorEastAsia" w:eastAsiaTheme="minorEastAsia" w:cstheme="minorEastAsia"/>
          <w:b w:val="0"/>
          <w:bCs w:val="0"/>
          <w:sz w:val="24"/>
          <w:szCs w:val="24"/>
          <w:lang w:eastAsia="zh-Hans"/>
        </w:rPr>
        <w:t>并按甲方要求调整或修正服务建议或工作成果。</w:t>
      </w:r>
    </w:p>
    <w:p w14:paraId="04BE3B2B">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w:t>
      </w:r>
      <w:r>
        <w:rPr>
          <w:rFonts w:hint="eastAsia" w:asciiTheme="minorEastAsia" w:hAnsiTheme="minorEastAsia" w:eastAsiaTheme="minorEastAsia" w:cstheme="minorEastAsia"/>
          <w:b w:val="0"/>
          <w:bCs w:val="0"/>
          <w:sz w:val="24"/>
          <w:szCs w:val="24"/>
          <w:lang w:val="en-US"/>
        </w:rPr>
        <w:t>七</w:t>
      </w:r>
      <w:r>
        <w:rPr>
          <w:rFonts w:hint="eastAsia" w:asciiTheme="minorEastAsia" w:hAnsiTheme="minorEastAsia" w:eastAsiaTheme="minorEastAsia" w:cstheme="minorEastAsia"/>
          <w:b w:val="0"/>
          <w:bCs w:val="0"/>
          <w:sz w:val="24"/>
          <w:szCs w:val="24"/>
          <w:lang w:eastAsia="zh-Hans"/>
        </w:rPr>
        <w:t>条：咨询项目日常工作要求</w:t>
      </w:r>
    </w:p>
    <w:p w14:paraId="79ED4352">
      <w:pPr>
        <w:keepNext w:val="0"/>
        <w:keepLines w:val="0"/>
        <w:pageBreakBefore w:val="0"/>
        <w:widowControl w:val="0"/>
        <w:numPr>
          <w:ilvl w:val="0"/>
          <w:numId w:val="16"/>
        </w:numPr>
        <w:kinsoku/>
        <w:wordWrap w:val="0"/>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乙方接受甲方委托，指派</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Hans"/>
        </w:rPr>
        <w:t>等律师作为甲方</w:t>
      </w:r>
      <w:r>
        <w:rPr>
          <w:rFonts w:hint="eastAsia" w:asciiTheme="minorEastAsia" w:hAnsiTheme="minorEastAsia" w:eastAsiaTheme="minorEastAsia" w:cstheme="minorEastAsia"/>
          <w:b w:val="0"/>
          <w:bCs w:val="0"/>
          <w:sz w:val="24"/>
          <w:szCs w:val="24"/>
          <w:lang w:val="en-US" w:eastAsia="zh-CN"/>
        </w:rPr>
        <w:t>专项</w:t>
      </w:r>
      <w:r>
        <w:rPr>
          <w:rFonts w:hint="eastAsia" w:asciiTheme="minorEastAsia" w:hAnsiTheme="minorEastAsia" w:eastAsiaTheme="minorEastAsia" w:cstheme="minorEastAsia"/>
          <w:b w:val="0"/>
          <w:bCs w:val="0"/>
          <w:sz w:val="24"/>
          <w:szCs w:val="24"/>
          <w:lang w:eastAsia="zh-Hans"/>
        </w:rPr>
        <w:t>法律服务律师，根据甲方的要求，具体负责为甲方提供本协议项下法律服务</w:t>
      </w:r>
      <w:r>
        <w:rPr>
          <w:rFonts w:hint="eastAsia" w:asciiTheme="minorEastAsia" w:hAnsiTheme="minorEastAsia" w:eastAsiaTheme="minorEastAsia" w:cstheme="minorEastAsia"/>
          <w:b w:val="0"/>
          <w:bCs w:val="0"/>
          <w:sz w:val="24"/>
          <w:szCs w:val="24"/>
          <w:lang w:eastAsia="zh-CN"/>
        </w:rPr>
        <w:t>。</w:t>
      </w:r>
    </w:p>
    <w:p w14:paraId="71EBFBD8">
      <w:pPr>
        <w:keepNext w:val="0"/>
        <w:keepLines w:val="0"/>
        <w:pageBreakBefore w:val="0"/>
        <w:widowControl w:val="0"/>
        <w:numPr>
          <w:ilvl w:val="0"/>
          <w:numId w:val="16"/>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甲方应指派</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lang w:eastAsia="zh-Hans"/>
        </w:rPr>
        <w:t>乙方</w:t>
      </w:r>
      <w:r>
        <w:rPr>
          <w:rFonts w:hint="eastAsia" w:asciiTheme="minorEastAsia" w:hAnsiTheme="minorEastAsia" w:eastAsiaTheme="minorEastAsia" w:cstheme="minorEastAsia"/>
          <w:b w:val="0"/>
          <w:bCs w:val="0"/>
          <w:sz w:val="24"/>
          <w:szCs w:val="24"/>
        </w:rPr>
        <w:t>指派</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lang w:val="en-US" w:eastAsia="zh-CN"/>
        </w:rPr>
        <w:t>作</w:t>
      </w:r>
      <w:r>
        <w:rPr>
          <w:rFonts w:hint="eastAsia" w:asciiTheme="minorEastAsia" w:hAnsiTheme="minorEastAsia" w:eastAsiaTheme="minorEastAsia" w:cstheme="minorEastAsia"/>
          <w:b w:val="0"/>
          <w:bCs w:val="0"/>
          <w:sz w:val="24"/>
          <w:szCs w:val="24"/>
          <w:lang w:eastAsia="zh-Hans"/>
        </w:rPr>
        <w:t>为</w:t>
      </w:r>
      <w:r>
        <w:rPr>
          <w:rFonts w:hint="eastAsia" w:asciiTheme="minorEastAsia" w:hAnsiTheme="minorEastAsia" w:eastAsiaTheme="minorEastAsia" w:cstheme="minorEastAsia"/>
          <w:b w:val="0"/>
          <w:bCs w:val="0"/>
          <w:sz w:val="24"/>
          <w:szCs w:val="24"/>
          <w:lang w:val="en-US" w:eastAsia="zh-CN"/>
        </w:rPr>
        <w:t>本项目</w:t>
      </w:r>
      <w:r>
        <w:rPr>
          <w:rFonts w:hint="eastAsia" w:asciiTheme="minorEastAsia" w:hAnsiTheme="minorEastAsia" w:eastAsiaTheme="minorEastAsia" w:cstheme="minorEastAsia"/>
          <w:b w:val="0"/>
          <w:bCs w:val="0"/>
          <w:sz w:val="24"/>
          <w:szCs w:val="24"/>
          <w:lang w:eastAsia="zh-Hans"/>
        </w:rPr>
        <w:t>的主要联络人，负责进行项目日常工作的接洽与沟通。</w:t>
      </w:r>
    </w:p>
    <w:p w14:paraId="54BF73E3">
      <w:pPr>
        <w:keepNext w:val="0"/>
        <w:keepLines w:val="0"/>
        <w:pageBreakBefore w:val="0"/>
        <w:widowControl w:val="0"/>
        <w:numPr>
          <w:ilvl w:val="0"/>
          <w:numId w:val="16"/>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甲方应负责提供乙方项目组成员项目期间在甲方工作的必要办公条件。</w:t>
      </w:r>
    </w:p>
    <w:p w14:paraId="0427C122">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w:t>
      </w:r>
      <w:r>
        <w:rPr>
          <w:rFonts w:hint="eastAsia" w:asciiTheme="minorEastAsia" w:hAnsiTheme="minorEastAsia" w:eastAsiaTheme="minorEastAsia" w:cstheme="minorEastAsia"/>
          <w:b w:val="0"/>
          <w:bCs w:val="0"/>
          <w:sz w:val="24"/>
          <w:szCs w:val="24"/>
          <w:lang w:val="en-US"/>
        </w:rPr>
        <w:t>八</w:t>
      </w:r>
      <w:r>
        <w:rPr>
          <w:rFonts w:hint="eastAsia" w:asciiTheme="minorEastAsia" w:hAnsiTheme="minorEastAsia" w:eastAsiaTheme="minorEastAsia" w:cstheme="minorEastAsia"/>
          <w:b w:val="0"/>
          <w:bCs w:val="0"/>
          <w:sz w:val="24"/>
          <w:szCs w:val="24"/>
          <w:lang w:eastAsia="zh-Hans"/>
        </w:rPr>
        <w:t>条：项目验收</w:t>
      </w:r>
    </w:p>
    <w:p w14:paraId="32FA110C">
      <w:pPr>
        <w:keepNext w:val="0"/>
        <w:keepLines w:val="0"/>
        <w:pageBreakBefore w:val="0"/>
        <w:widowControl w:val="0"/>
        <w:numPr>
          <w:ilvl w:val="0"/>
          <w:numId w:val="17"/>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甲方以签署乙方提交的《合规管理体系</w:t>
      </w:r>
      <w:r>
        <w:rPr>
          <w:rFonts w:hint="eastAsia" w:asciiTheme="minorEastAsia" w:hAnsiTheme="minorEastAsia" w:eastAsiaTheme="minorEastAsia" w:cstheme="minorEastAsia"/>
          <w:b w:val="0"/>
          <w:bCs w:val="0"/>
          <w:sz w:val="24"/>
          <w:szCs w:val="24"/>
          <w:lang w:val="en-US"/>
        </w:rPr>
        <w:t>有效性评价</w:t>
      </w:r>
      <w:r>
        <w:rPr>
          <w:rFonts w:hint="eastAsia" w:asciiTheme="minorEastAsia" w:hAnsiTheme="minorEastAsia" w:eastAsiaTheme="minorEastAsia" w:cstheme="minorEastAsia"/>
          <w:b w:val="0"/>
          <w:bCs w:val="0"/>
          <w:sz w:val="24"/>
          <w:szCs w:val="24"/>
          <w:lang w:eastAsia="zh-Hans"/>
        </w:rPr>
        <w:t>项目成果</w:t>
      </w:r>
      <w:r>
        <w:rPr>
          <w:rFonts w:hint="eastAsia" w:asciiTheme="minorEastAsia" w:hAnsiTheme="minorEastAsia" w:eastAsiaTheme="minorEastAsia" w:cstheme="minorEastAsia"/>
          <w:b w:val="0"/>
          <w:bCs w:val="0"/>
          <w:sz w:val="24"/>
          <w:szCs w:val="24"/>
          <w:lang w:eastAsia="zh-CN"/>
        </w:rPr>
        <w:t>验收</w:t>
      </w:r>
      <w:r>
        <w:rPr>
          <w:rFonts w:hint="eastAsia" w:asciiTheme="minorEastAsia" w:hAnsiTheme="minorEastAsia" w:eastAsiaTheme="minorEastAsia" w:cstheme="minorEastAsia"/>
          <w:b w:val="0"/>
          <w:bCs w:val="0"/>
          <w:sz w:val="24"/>
          <w:szCs w:val="24"/>
          <w:lang w:eastAsia="zh-Hans"/>
        </w:rPr>
        <w:t>表》的方式确认乙方提交的专项服务成果</w:t>
      </w:r>
      <w:r>
        <w:rPr>
          <w:rFonts w:hint="eastAsia" w:asciiTheme="minorEastAsia" w:hAnsiTheme="minorEastAsia" w:eastAsiaTheme="minorEastAsia" w:cstheme="minorEastAsia"/>
          <w:b w:val="0"/>
          <w:bCs w:val="0"/>
          <w:sz w:val="24"/>
          <w:szCs w:val="24"/>
          <w:lang w:val="en-US" w:eastAsia="zh-CN"/>
        </w:rPr>
        <w:t>是否</w:t>
      </w:r>
      <w:r>
        <w:rPr>
          <w:rFonts w:hint="eastAsia" w:asciiTheme="minorEastAsia" w:hAnsiTheme="minorEastAsia" w:eastAsiaTheme="minorEastAsia" w:cstheme="minorEastAsia"/>
          <w:b w:val="0"/>
          <w:bCs w:val="0"/>
          <w:sz w:val="24"/>
          <w:szCs w:val="24"/>
          <w:lang w:val="en-US"/>
        </w:rPr>
        <w:t>符合验收标准。本次专项服务核心成果为：《合规管理体系有效性评价报告》及附属文件。报告提交形式：</w:t>
      </w:r>
      <w:r>
        <w:rPr>
          <w:rFonts w:hint="eastAsia" w:asciiTheme="minorEastAsia" w:hAnsiTheme="minorEastAsia" w:eastAsiaTheme="minorEastAsia" w:cstheme="minorEastAsia"/>
          <w:b w:val="0"/>
          <w:bCs w:val="0"/>
          <w:sz w:val="24"/>
          <w:szCs w:val="24"/>
          <w:lang w:eastAsia="zh-Hans"/>
        </w:rPr>
        <w:t>含纸质文本3</w:t>
      </w:r>
      <w:r>
        <w:rPr>
          <w:rFonts w:hint="eastAsia" w:asciiTheme="minorEastAsia" w:hAnsiTheme="minorEastAsia" w:eastAsiaTheme="minorEastAsia" w:cstheme="minorEastAsia"/>
          <w:b w:val="0"/>
          <w:bCs w:val="0"/>
          <w:sz w:val="24"/>
          <w:szCs w:val="24"/>
          <w:lang w:val="en-US"/>
        </w:rPr>
        <w:t>份</w:t>
      </w:r>
      <w:r>
        <w:rPr>
          <w:rFonts w:hint="eastAsia" w:asciiTheme="minorEastAsia" w:hAnsiTheme="minorEastAsia" w:eastAsiaTheme="minorEastAsia" w:cstheme="minorEastAsia"/>
          <w:b w:val="0"/>
          <w:bCs w:val="0"/>
          <w:sz w:val="24"/>
          <w:szCs w:val="24"/>
          <w:lang w:eastAsia="zh-Hans"/>
        </w:rPr>
        <w:t>，电子稿1份（含PDF及WORD格式）。</w:t>
      </w:r>
    </w:p>
    <w:p w14:paraId="07F33E38">
      <w:pPr>
        <w:keepNext w:val="0"/>
        <w:keepLines w:val="0"/>
        <w:pageBreakBefore w:val="0"/>
        <w:widowControl w:val="0"/>
        <w:numPr>
          <w:ilvl w:val="0"/>
          <w:numId w:val="17"/>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提交</w:t>
      </w:r>
      <w:r>
        <w:rPr>
          <w:rFonts w:hint="eastAsia" w:asciiTheme="minorEastAsia" w:hAnsiTheme="minorEastAsia" w:eastAsiaTheme="minorEastAsia" w:cstheme="minorEastAsia"/>
          <w:b w:val="0"/>
          <w:bCs w:val="0"/>
          <w:sz w:val="24"/>
          <w:szCs w:val="24"/>
          <w:lang w:val="en-US"/>
        </w:rPr>
        <w:t>专项法律服务</w:t>
      </w:r>
      <w:r>
        <w:rPr>
          <w:rFonts w:hint="eastAsia" w:asciiTheme="minorEastAsia" w:hAnsiTheme="minorEastAsia" w:eastAsiaTheme="minorEastAsia" w:cstheme="minorEastAsia"/>
          <w:b w:val="0"/>
          <w:bCs w:val="0"/>
          <w:sz w:val="24"/>
          <w:szCs w:val="24"/>
          <w:lang w:eastAsia="zh-Hans"/>
        </w:rPr>
        <w:t>成果前，乙方应</w:t>
      </w:r>
      <w:r>
        <w:rPr>
          <w:rFonts w:hint="eastAsia" w:asciiTheme="minorEastAsia" w:hAnsiTheme="minorEastAsia" w:eastAsiaTheme="minorEastAsia" w:cstheme="minorEastAsia"/>
          <w:b w:val="0"/>
          <w:bCs w:val="0"/>
          <w:sz w:val="24"/>
          <w:szCs w:val="24"/>
          <w:lang w:val="en-US" w:eastAsia="zh-CN"/>
        </w:rPr>
        <w:t>向</w:t>
      </w:r>
      <w:r>
        <w:rPr>
          <w:rFonts w:hint="eastAsia" w:asciiTheme="minorEastAsia" w:hAnsiTheme="minorEastAsia" w:eastAsiaTheme="minorEastAsia" w:cstheme="minorEastAsia"/>
          <w:b w:val="0"/>
          <w:bCs w:val="0"/>
          <w:sz w:val="24"/>
          <w:szCs w:val="24"/>
          <w:lang w:eastAsia="zh-Hans"/>
        </w:rPr>
        <w:t>甲方相关人员对拟定提交的成果进行必要的讲解，对乙方提交的各项成果，甲方提出书面的反馈意见或验收意见。</w:t>
      </w:r>
    </w:p>
    <w:p w14:paraId="1112389C">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w:t>
      </w:r>
      <w:r>
        <w:rPr>
          <w:rFonts w:hint="eastAsia" w:asciiTheme="minorEastAsia" w:hAnsiTheme="minorEastAsia" w:eastAsiaTheme="minorEastAsia" w:cstheme="minorEastAsia"/>
          <w:b w:val="0"/>
          <w:bCs w:val="0"/>
          <w:sz w:val="24"/>
          <w:szCs w:val="24"/>
          <w:lang w:val="en-US"/>
        </w:rPr>
        <w:t>九</w:t>
      </w:r>
      <w:r>
        <w:rPr>
          <w:rFonts w:hint="eastAsia" w:asciiTheme="minorEastAsia" w:hAnsiTheme="minorEastAsia" w:eastAsiaTheme="minorEastAsia" w:cstheme="minorEastAsia"/>
          <w:b w:val="0"/>
          <w:bCs w:val="0"/>
          <w:sz w:val="24"/>
          <w:szCs w:val="24"/>
          <w:lang w:eastAsia="zh-Hans"/>
        </w:rPr>
        <w:t>条：项目费用以及支付方式</w:t>
      </w:r>
    </w:p>
    <w:p w14:paraId="20F21F29">
      <w:pPr>
        <w:keepNext w:val="0"/>
        <w:keepLines w:val="0"/>
        <w:pageBreakBefore w:val="0"/>
        <w:widowControl w:val="0"/>
        <w:numPr>
          <w:ilvl w:val="0"/>
          <w:numId w:val="18"/>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rPr>
        <w:t>本次</w:t>
      </w:r>
      <w:r>
        <w:rPr>
          <w:rFonts w:hint="eastAsia" w:asciiTheme="minorEastAsia" w:hAnsiTheme="minorEastAsia" w:eastAsiaTheme="minorEastAsia" w:cstheme="minorEastAsia"/>
          <w:b w:val="0"/>
          <w:bCs w:val="0"/>
          <w:sz w:val="24"/>
          <w:szCs w:val="24"/>
          <w:lang w:eastAsia="zh-Hans"/>
        </w:rPr>
        <w:t>项目</w:t>
      </w:r>
      <w:r>
        <w:rPr>
          <w:rFonts w:hint="eastAsia" w:asciiTheme="minorEastAsia" w:hAnsiTheme="minorEastAsia" w:eastAsiaTheme="minorEastAsia" w:cstheme="minorEastAsia"/>
          <w:b w:val="0"/>
          <w:bCs w:val="0"/>
          <w:sz w:val="24"/>
          <w:szCs w:val="24"/>
        </w:rPr>
        <w:t>专项法律服务</w:t>
      </w:r>
      <w:r>
        <w:rPr>
          <w:rFonts w:hint="eastAsia" w:asciiTheme="minorEastAsia" w:hAnsiTheme="minorEastAsia" w:eastAsiaTheme="minorEastAsia" w:cstheme="minorEastAsia"/>
          <w:b w:val="0"/>
          <w:bCs w:val="0"/>
          <w:sz w:val="24"/>
          <w:szCs w:val="24"/>
          <w:lang w:eastAsia="zh-Hans"/>
        </w:rPr>
        <w:t>费用共计人民币</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rPr>
        <w:t>含税</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u w:val="none"/>
        </w:rPr>
        <w:t>，</w:t>
      </w:r>
      <w:r>
        <w:rPr>
          <w:rFonts w:hint="eastAsia" w:asciiTheme="minorEastAsia" w:hAnsiTheme="minorEastAsia" w:eastAsiaTheme="minorEastAsia" w:cstheme="minorEastAsia"/>
          <w:b w:val="0"/>
          <w:bCs w:val="0"/>
          <w:sz w:val="24"/>
          <w:szCs w:val="24"/>
          <w:lang w:val="en-US"/>
        </w:rPr>
        <w:t>不含税价人民币</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Hans"/>
        </w:rPr>
        <w:t>。此费用含6%增值税，费用包括乙方提供本</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项下服务的一切成本和费用（包括但不限于交通费、住宿费、管理费、利润和税金等）。</w:t>
      </w:r>
    </w:p>
    <w:p w14:paraId="0AC64A10">
      <w:pPr>
        <w:keepNext w:val="0"/>
        <w:keepLines w:val="0"/>
        <w:pageBreakBefore w:val="0"/>
        <w:widowControl w:val="0"/>
        <w:numPr>
          <w:ilvl w:val="0"/>
          <w:numId w:val="18"/>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rPr>
        <w:t>付款进度安排：</w:t>
      </w:r>
      <w:r>
        <w:rPr>
          <w:rFonts w:hint="eastAsia" w:asciiTheme="minorEastAsia" w:hAnsiTheme="minorEastAsia" w:eastAsiaTheme="minorEastAsia" w:cstheme="minorEastAsia"/>
          <w:b w:val="0"/>
          <w:bCs w:val="0"/>
          <w:sz w:val="24"/>
          <w:szCs w:val="24"/>
          <w:lang w:val="en-US" w:eastAsia="zh-CN"/>
        </w:rPr>
        <w:t>协议</w:t>
      </w:r>
      <w:r>
        <w:rPr>
          <w:rFonts w:hint="eastAsia" w:asciiTheme="minorEastAsia" w:hAnsiTheme="minorEastAsia" w:eastAsiaTheme="minorEastAsia" w:cstheme="minorEastAsia"/>
          <w:b w:val="0"/>
          <w:bCs w:val="0"/>
          <w:sz w:val="24"/>
          <w:szCs w:val="24"/>
          <w:lang w:val="en-US" w:eastAsia="zh"/>
        </w:rPr>
        <w:t>签订</w:t>
      </w:r>
      <w:r>
        <w:rPr>
          <w:rFonts w:hint="eastAsia" w:asciiTheme="minorEastAsia" w:hAnsiTheme="minorEastAsia" w:eastAsiaTheme="minorEastAsia" w:cstheme="minorEastAsia"/>
          <w:b w:val="0"/>
          <w:bCs w:val="0"/>
          <w:sz w:val="24"/>
          <w:szCs w:val="24"/>
          <w:lang w:val="en-US" w:eastAsia="zh-CN"/>
        </w:rPr>
        <w:t>后5</w:t>
      </w:r>
      <w:r>
        <w:rPr>
          <w:rFonts w:hint="eastAsia" w:asciiTheme="minorEastAsia" w:hAnsiTheme="minorEastAsia" w:eastAsiaTheme="minorEastAsia" w:cstheme="minorEastAsia"/>
          <w:b w:val="0"/>
          <w:bCs w:val="0"/>
          <w:sz w:val="24"/>
          <w:szCs w:val="24"/>
          <w:lang w:val="en-US" w:eastAsia="zh"/>
        </w:rPr>
        <w:t>个工作日内支付</w:t>
      </w:r>
      <w:r>
        <w:rPr>
          <w:rFonts w:hint="eastAsia" w:asciiTheme="minorEastAsia" w:hAnsiTheme="minorEastAsia" w:eastAsiaTheme="minorEastAsia" w:cstheme="minorEastAsia"/>
          <w:b w:val="0"/>
          <w:bCs w:val="0"/>
          <w:sz w:val="24"/>
          <w:szCs w:val="24"/>
          <w:lang w:val="en-US" w:eastAsia="zh-CN"/>
        </w:rPr>
        <w:t>至</w:t>
      </w:r>
      <w:r>
        <w:rPr>
          <w:rFonts w:hint="eastAsia" w:asciiTheme="minorEastAsia" w:hAnsiTheme="minorEastAsia" w:eastAsiaTheme="minorEastAsia" w:cstheme="minorEastAsia"/>
          <w:b w:val="0"/>
          <w:bCs w:val="0"/>
          <w:sz w:val="24"/>
          <w:szCs w:val="24"/>
          <w:lang w:val="en-US" w:eastAsia="zh"/>
        </w:rPr>
        <w:t>项目</w:t>
      </w:r>
      <w:r>
        <w:rPr>
          <w:rFonts w:hint="eastAsia" w:asciiTheme="minorEastAsia" w:hAnsiTheme="minorEastAsia" w:eastAsiaTheme="minorEastAsia" w:cstheme="minorEastAsia"/>
          <w:b w:val="0"/>
          <w:bCs w:val="0"/>
          <w:sz w:val="24"/>
          <w:szCs w:val="24"/>
          <w:lang w:val="en-US" w:eastAsia="zh-CN"/>
        </w:rPr>
        <w:t>总</w:t>
      </w:r>
      <w:r>
        <w:rPr>
          <w:rFonts w:hint="eastAsia" w:asciiTheme="minorEastAsia" w:hAnsiTheme="minorEastAsia" w:eastAsiaTheme="minorEastAsia" w:cstheme="minorEastAsia"/>
          <w:b w:val="0"/>
          <w:bCs w:val="0"/>
          <w:sz w:val="24"/>
          <w:szCs w:val="24"/>
          <w:lang w:val="en-US" w:eastAsia="zh"/>
        </w:rPr>
        <w:t>服务费用</w:t>
      </w:r>
      <w:r>
        <w:rPr>
          <w:rFonts w:hint="eastAsia" w:asciiTheme="minorEastAsia" w:hAnsiTheme="minorEastAsia" w:eastAsiaTheme="minorEastAsia" w:cstheme="minorEastAsia"/>
          <w:b w:val="0"/>
          <w:bCs w:val="0"/>
          <w:sz w:val="24"/>
          <w:szCs w:val="24"/>
          <w:lang w:val="en-US" w:eastAsia="zh-CN"/>
        </w:rPr>
        <w:t xml:space="preserve">（含税）的50%，即    元（大写：  ），剩余款项    元（大写：   </w:t>
      </w:r>
      <w:bookmarkStart w:id="42" w:name="_GoBack"/>
      <w:bookmarkEnd w:id="42"/>
      <w:r>
        <w:rPr>
          <w:rFonts w:hint="eastAsia" w:asciiTheme="minorEastAsia" w:hAnsiTheme="minorEastAsia" w:eastAsiaTheme="minorEastAsia" w:cstheme="minorEastAsia"/>
          <w:b w:val="0"/>
          <w:bCs w:val="0"/>
          <w:sz w:val="24"/>
          <w:szCs w:val="24"/>
          <w:lang w:val="en-US" w:eastAsia="zh-CN"/>
        </w:rPr>
        <w:t>）于</w:t>
      </w:r>
      <w:r>
        <w:rPr>
          <w:rFonts w:hint="eastAsia" w:asciiTheme="minorEastAsia" w:hAnsiTheme="minorEastAsia" w:eastAsiaTheme="minorEastAsia" w:cstheme="minorEastAsia"/>
          <w:b w:val="0"/>
          <w:bCs w:val="0"/>
          <w:sz w:val="24"/>
          <w:szCs w:val="24"/>
          <w:lang w:eastAsia="zh-Hans"/>
        </w:rPr>
        <w:t>甲方</w:t>
      </w:r>
      <w:r>
        <w:rPr>
          <w:rFonts w:hint="eastAsia" w:asciiTheme="minorEastAsia" w:hAnsiTheme="minorEastAsia" w:eastAsiaTheme="minorEastAsia" w:cstheme="minorEastAsia"/>
          <w:b w:val="0"/>
          <w:bCs w:val="0"/>
          <w:sz w:val="24"/>
          <w:szCs w:val="24"/>
          <w:lang w:val="en-US" w:eastAsia="zh-CN"/>
        </w:rPr>
        <w:t>签署</w:t>
      </w:r>
      <w:r>
        <w:rPr>
          <w:rFonts w:hint="eastAsia" w:asciiTheme="minorEastAsia" w:hAnsiTheme="minorEastAsia" w:eastAsiaTheme="minorEastAsia" w:cstheme="minorEastAsia"/>
          <w:b w:val="0"/>
          <w:bCs w:val="0"/>
          <w:sz w:val="24"/>
          <w:szCs w:val="24"/>
          <w:lang w:eastAsia="zh-Hans"/>
        </w:rPr>
        <w:t>成果</w:t>
      </w:r>
      <w:r>
        <w:rPr>
          <w:rFonts w:hint="eastAsia" w:asciiTheme="minorEastAsia" w:hAnsiTheme="minorEastAsia" w:eastAsiaTheme="minorEastAsia" w:cstheme="minorEastAsia"/>
          <w:b w:val="0"/>
          <w:bCs w:val="0"/>
          <w:sz w:val="24"/>
          <w:szCs w:val="24"/>
          <w:lang w:eastAsia="zh-CN"/>
        </w:rPr>
        <w:t>验收</w:t>
      </w:r>
      <w:r>
        <w:rPr>
          <w:rFonts w:hint="eastAsia" w:asciiTheme="minorEastAsia" w:hAnsiTheme="minorEastAsia" w:eastAsiaTheme="minorEastAsia" w:cstheme="minorEastAsia"/>
          <w:b w:val="0"/>
          <w:bCs w:val="0"/>
          <w:sz w:val="24"/>
          <w:szCs w:val="24"/>
          <w:lang w:eastAsia="zh-Hans"/>
        </w:rPr>
        <w:t>表</w:t>
      </w:r>
      <w:r>
        <w:rPr>
          <w:rFonts w:hint="eastAsia" w:asciiTheme="minorEastAsia" w:hAnsiTheme="minorEastAsia" w:eastAsiaTheme="minorEastAsia" w:cstheme="minorEastAsia"/>
          <w:b w:val="0"/>
          <w:bCs w:val="0"/>
          <w:sz w:val="24"/>
          <w:szCs w:val="24"/>
          <w:lang w:val="en-US" w:eastAsia="zh-CN"/>
        </w:rPr>
        <w:t>后的5个工作日内，由甲方一次性支付完毕。甲方付款前，乙方应开具相应金额的增值税专用发票，否则甲方有权拒绝付款且不承担逾期付款的违约责任，同时，乙方不得据此拒绝履行本协议约定的义务</w:t>
      </w:r>
    </w:p>
    <w:p w14:paraId="41B89211">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第十条：持续改进服务</w:t>
      </w:r>
    </w:p>
    <w:p w14:paraId="02BD136B">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Hans"/>
        </w:rPr>
        <w:t>在本</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项下约定义务全部履行完毕后，如甲方需开展持续改进、效能提升等后续工作，具体事宜由双方另行协商并以书面形式确认。</w:t>
      </w:r>
    </w:p>
    <w:p w14:paraId="71D02893">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rPr>
        <w:t>第</w:t>
      </w:r>
      <w:r>
        <w:rPr>
          <w:rFonts w:hint="eastAsia" w:asciiTheme="minorEastAsia" w:hAnsiTheme="minorEastAsia" w:eastAsiaTheme="minorEastAsia" w:cstheme="minorEastAsia"/>
          <w:b w:val="0"/>
          <w:bCs w:val="0"/>
          <w:sz w:val="24"/>
          <w:szCs w:val="24"/>
          <w:lang w:eastAsia="zh-Hans"/>
        </w:rPr>
        <w:t>十</w:t>
      </w:r>
      <w:r>
        <w:rPr>
          <w:rFonts w:hint="eastAsia" w:asciiTheme="minorEastAsia" w:hAnsiTheme="minorEastAsia" w:eastAsiaTheme="minorEastAsia" w:cstheme="minorEastAsia"/>
          <w:b w:val="0"/>
          <w:bCs w:val="0"/>
          <w:sz w:val="24"/>
          <w:szCs w:val="24"/>
          <w:lang w:val="en-US"/>
        </w:rPr>
        <w:t>一</w:t>
      </w:r>
      <w:r>
        <w:rPr>
          <w:rFonts w:hint="eastAsia" w:asciiTheme="minorEastAsia" w:hAnsiTheme="minorEastAsia" w:eastAsiaTheme="minorEastAsia" w:cstheme="minorEastAsia"/>
          <w:b w:val="0"/>
          <w:bCs w:val="0"/>
          <w:sz w:val="24"/>
          <w:szCs w:val="24"/>
          <w:lang w:eastAsia="zh-Hans"/>
        </w:rPr>
        <w:t>条：违约责任</w:t>
      </w:r>
    </w:p>
    <w:p w14:paraId="77FC9232">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eastAsia="zh-Hans"/>
        </w:rPr>
        <w:t>甲乙双方同意任一方不得随意终止该</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，如因特殊原因任何一方要求提前终止</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，必须提前30天书面通知对方，征得对方同意后，方可终止；在正式终止前，</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照常履行。</w:t>
      </w:r>
    </w:p>
    <w:p w14:paraId="755DE261">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rPr>
        <w:t>第</w:t>
      </w:r>
      <w:r>
        <w:rPr>
          <w:rFonts w:hint="eastAsia" w:asciiTheme="minorEastAsia" w:hAnsiTheme="minorEastAsia" w:eastAsiaTheme="minorEastAsia" w:cstheme="minorEastAsia"/>
          <w:b w:val="0"/>
          <w:bCs w:val="0"/>
          <w:sz w:val="24"/>
          <w:szCs w:val="24"/>
          <w:lang w:eastAsia="zh-Hans"/>
        </w:rPr>
        <w:t>十</w:t>
      </w:r>
      <w:r>
        <w:rPr>
          <w:rFonts w:hint="eastAsia" w:asciiTheme="minorEastAsia" w:hAnsiTheme="minorEastAsia" w:eastAsiaTheme="minorEastAsia" w:cstheme="minorEastAsia"/>
          <w:b w:val="0"/>
          <w:bCs w:val="0"/>
          <w:sz w:val="24"/>
          <w:szCs w:val="24"/>
          <w:lang w:val="en-US"/>
        </w:rPr>
        <w:t>二</w:t>
      </w:r>
      <w:r>
        <w:rPr>
          <w:rFonts w:hint="eastAsia" w:asciiTheme="minorEastAsia" w:hAnsiTheme="minorEastAsia" w:eastAsiaTheme="minorEastAsia" w:cstheme="minorEastAsia"/>
          <w:b w:val="0"/>
          <w:bCs w:val="0"/>
          <w:sz w:val="24"/>
          <w:szCs w:val="24"/>
          <w:lang w:eastAsia="zh-Hans"/>
        </w:rPr>
        <w:t>条：保密</w:t>
      </w:r>
      <w:r>
        <w:rPr>
          <w:rFonts w:hint="eastAsia" w:asciiTheme="minorEastAsia" w:hAnsiTheme="minorEastAsia" w:eastAsiaTheme="minorEastAsia" w:cstheme="minorEastAsia"/>
          <w:b w:val="0"/>
          <w:bCs w:val="0"/>
          <w:sz w:val="24"/>
          <w:szCs w:val="24"/>
          <w:lang w:val="en-US"/>
        </w:rPr>
        <w:t>责任</w:t>
      </w:r>
    </w:p>
    <w:p w14:paraId="037B3EC7">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一、乙方对在本次服务过程中接触到的甲方的任何资料、文件、数据（无论是书面的还是电子的），以及对为甲方服务形成的任何交付物，负有为甲方保密的责任。未经甲方书面同意，乙方不得以任何方式向任何第三方提供或透露。</w:t>
      </w:r>
    </w:p>
    <w:p w14:paraId="104C6B39">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二、甲方向乙方提供的任何资料、文件和信息，在乙方服务结束后，乙方均应及时归还甲方。</w:t>
      </w:r>
    </w:p>
    <w:p w14:paraId="08C53F51">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三、乙方人员违反上述保密</w:t>
      </w:r>
      <w:r>
        <w:rPr>
          <w:rFonts w:hint="eastAsia" w:asciiTheme="minorEastAsia" w:hAnsiTheme="minorEastAsia" w:eastAsiaTheme="minorEastAsia" w:cstheme="minorEastAsia"/>
          <w:b w:val="0"/>
          <w:bCs w:val="0"/>
          <w:sz w:val="24"/>
          <w:szCs w:val="24"/>
          <w:lang w:val="en-US" w:eastAsia="zh-CN"/>
        </w:rPr>
        <w:t>义务的</w:t>
      </w:r>
      <w:r>
        <w:rPr>
          <w:rFonts w:hint="eastAsia" w:asciiTheme="minorEastAsia" w:hAnsiTheme="minorEastAsia" w:eastAsiaTheme="minorEastAsia" w:cstheme="minorEastAsia"/>
          <w:b w:val="0"/>
          <w:bCs w:val="0"/>
          <w:sz w:val="24"/>
          <w:szCs w:val="24"/>
          <w:lang w:eastAsia="zh-Hans"/>
        </w:rPr>
        <w:t>，乙方应承担相应法律责任。</w:t>
      </w:r>
    </w:p>
    <w:p w14:paraId="7E3251BD">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四、本条款在</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有效期结束后继续生效。</w:t>
      </w:r>
    </w:p>
    <w:p w14:paraId="0EDBE1D1">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第十</w:t>
      </w:r>
      <w:r>
        <w:rPr>
          <w:rFonts w:hint="eastAsia" w:asciiTheme="minorEastAsia" w:hAnsiTheme="minorEastAsia" w:eastAsiaTheme="minorEastAsia" w:cstheme="minorEastAsia"/>
          <w:b w:val="0"/>
          <w:bCs w:val="0"/>
          <w:sz w:val="24"/>
          <w:szCs w:val="24"/>
          <w:lang w:val="en-US"/>
        </w:rPr>
        <w:t>三</w:t>
      </w:r>
      <w:r>
        <w:rPr>
          <w:rFonts w:hint="eastAsia" w:asciiTheme="minorEastAsia" w:hAnsiTheme="minorEastAsia" w:eastAsiaTheme="minorEastAsia" w:cstheme="minorEastAsia"/>
          <w:b w:val="0"/>
          <w:bCs w:val="0"/>
          <w:sz w:val="24"/>
          <w:szCs w:val="24"/>
          <w:lang w:eastAsia="zh-Hans"/>
        </w:rPr>
        <w:t>条：知识产权</w:t>
      </w:r>
    </w:p>
    <w:p w14:paraId="7DA65DA4">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一、本</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下的咨询成果的著作权及其他相关知识产权属甲方所有。未经甲方同意，乙方不得公开发表、使用或向任何第三方提供上述咨询成果。</w:t>
      </w:r>
    </w:p>
    <w:p w14:paraId="3F3407D3">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leftChars="0"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二、乙方提交的咨询成果不应存在任何权利瑕疵，乙方应保证甲方免于遭受因第三方提起侵权索赔所产生的任何损失。如果任何第三方向甲方提起侵权索赔，乙方应负责与之进行交涉，并承担由此引起的一切责任。</w:t>
      </w:r>
    </w:p>
    <w:p w14:paraId="67901ADA">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rPr>
        <w:t>第</w:t>
      </w:r>
      <w:r>
        <w:rPr>
          <w:rFonts w:hint="eastAsia" w:asciiTheme="minorEastAsia" w:hAnsiTheme="minorEastAsia" w:eastAsiaTheme="minorEastAsia" w:cstheme="minorEastAsia"/>
          <w:b w:val="0"/>
          <w:bCs w:val="0"/>
          <w:sz w:val="24"/>
          <w:szCs w:val="24"/>
          <w:lang w:eastAsia="zh-Hans"/>
        </w:rPr>
        <w:t>十</w:t>
      </w:r>
      <w:r>
        <w:rPr>
          <w:rFonts w:hint="eastAsia" w:asciiTheme="minorEastAsia" w:hAnsiTheme="minorEastAsia" w:eastAsiaTheme="minorEastAsia" w:cstheme="minorEastAsia"/>
          <w:b w:val="0"/>
          <w:bCs w:val="0"/>
          <w:sz w:val="24"/>
          <w:szCs w:val="24"/>
          <w:lang w:val="en-US"/>
        </w:rPr>
        <w:t>四</w:t>
      </w:r>
      <w:r>
        <w:rPr>
          <w:rFonts w:hint="eastAsia" w:asciiTheme="minorEastAsia" w:hAnsiTheme="minorEastAsia" w:eastAsiaTheme="minorEastAsia" w:cstheme="minorEastAsia"/>
          <w:b w:val="0"/>
          <w:bCs w:val="0"/>
          <w:sz w:val="24"/>
          <w:szCs w:val="24"/>
          <w:lang w:eastAsia="zh-Hans"/>
        </w:rPr>
        <w:t>条：争议</w:t>
      </w:r>
      <w:r>
        <w:rPr>
          <w:rFonts w:hint="eastAsia" w:asciiTheme="minorEastAsia" w:hAnsiTheme="minorEastAsia" w:eastAsiaTheme="minorEastAsia" w:cstheme="minorEastAsia"/>
          <w:b w:val="0"/>
          <w:bCs w:val="0"/>
          <w:sz w:val="24"/>
          <w:szCs w:val="24"/>
          <w:lang w:val="en-US"/>
        </w:rPr>
        <w:t>解决方式</w:t>
      </w:r>
    </w:p>
    <w:p w14:paraId="42CE30CE">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eastAsia="zh-Hans"/>
        </w:rPr>
        <w:t>履行本</w:t>
      </w:r>
      <w:r>
        <w:rPr>
          <w:rFonts w:hint="eastAsia" w:asciiTheme="minorEastAsia" w:hAnsiTheme="minorEastAsia" w:eastAsiaTheme="minorEastAsia" w:cstheme="minorEastAsia"/>
          <w:b w:val="0"/>
          <w:bCs w:val="0"/>
          <w:sz w:val="24"/>
          <w:szCs w:val="24"/>
          <w:lang w:eastAsia="zh-CN"/>
        </w:rPr>
        <w:t>协议</w:t>
      </w:r>
      <w:r>
        <w:rPr>
          <w:rFonts w:hint="eastAsia" w:asciiTheme="minorEastAsia" w:hAnsiTheme="minorEastAsia" w:eastAsiaTheme="minorEastAsia" w:cstheme="minorEastAsia"/>
          <w:b w:val="0"/>
          <w:bCs w:val="0"/>
          <w:sz w:val="24"/>
          <w:szCs w:val="24"/>
          <w:lang w:eastAsia="zh-Hans"/>
        </w:rPr>
        <w:t>发生争议，双方应友好协商解决，协商不成，提交甲方所在地人民法院诉讼解决。</w:t>
      </w:r>
    </w:p>
    <w:p w14:paraId="0C7AB63A">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default" w:asciiTheme="minorEastAsia" w:hAnsiTheme="minorEastAsia" w:eastAsiaTheme="minorEastAsia" w:cstheme="minorEastAsia"/>
          <w:b w:val="0"/>
          <w:bCs w:val="0"/>
          <w:sz w:val="24"/>
          <w:szCs w:val="24"/>
          <w:lang w:val="en-US" w:eastAsia="zh-Hans"/>
        </w:rPr>
      </w:pPr>
      <w:r>
        <w:rPr>
          <w:rFonts w:hint="default" w:asciiTheme="minorEastAsia" w:hAnsiTheme="minorEastAsia" w:eastAsiaTheme="minorEastAsia" w:cstheme="minorEastAsia"/>
          <w:b w:val="0"/>
          <w:bCs w:val="0"/>
          <w:sz w:val="24"/>
          <w:szCs w:val="24"/>
          <w:lang w:val="en-US"/>
        </w:rPr>
        <w:t>第</w:t>
      </w:r>
      <w:r>
        <w:rPr>
          <w:rFonts w:hint="default" w:asciiTheme="minorEastAsia" w:hAnsiTheme="minorEastAsia" w:eastAsiaTheme="minorEastAsia" w:cstheme="minorEastAsia"/>
          <w:b w:val="0"/>
          <w:bCs w:val="0"/>
          <w:sz w:val="24"/>
          <w:szCs w:val="24"/>
          <w:lang w:val="en-US" w:eastAsia="zh-Hans"/>
        </w:rPr>
        <w:t>十</w:t>
      </w:r>
      <w:r>
        <w:rPr>
          <w:rFonts w:hint="default" w:asciiTheme="minorEastAsia" w:hAnsiTheme="minorEastAsia" w:eastAsiaTheme="minorEastAsia" w:cstheme="minorEastAsia"/>
          <w:b w:val="0"/>
          <w:bCs w:val="0"/>
          <w:sz w:val="24"/>
          <w:szCs w:val="24"/>
          <w:lang w:val="en-US"/>
        </w:rPr>
        <w:t>五</w:t>
      </w:r>
      <w:r>
        <w:rPr>
          <w:rFonts w:hint="default" w:asciiTheme="minorEastAsia" w:hAnsiTheme="minorEastAsia" w:eastAsiaTheme="minorEastAsia" w:cstheme="minorEastAsia"/>
          <w:b w:val="0"/>
          <w:bCs w:val="0"/>
          <w:sz w:val="24"/>
          <w:szCs w:val="24"/>
          <w:lang w:val="en-US" w:eastAsia="zh-Hans"/>
        </w:rPr>
        <w:t>条：其他</w:t>
      </w:r>
    </w:p>
    <w:p w14:paraId="349CA4FE">
      <w:pPr>
        <w:pageBreakBefore w:val="0"/>
        <w:kinsoku/>
        <w:overflowPunct/>
        <w:topLinePunct w:val="0"/>
        <w:autoSpaceDE/>
        <w:autoSpaceDN/>
        <w:bidi w:val="0"/>
        <w:adjustRightInd w:val="0"/>
        <w:snapToGrid w:val="0"/>
        <w:spacing w:afterLines="0" w:line="560" w:lineRule="exact"/>
        <w:ind w:firstLine="480" w:firstLineChars="200"/>
        <w:textAlignment w:val="auto"/>
        <w:rPr>
          <w:rFonts w:hint="default" w:asciiTheme="minorEastAsia" w:hAnsiTheme="minorEastAsia" w:eastAsiaTheme="minorEastAsia" w:cstheme="minorEastAsia"/>
          <w:sz w:val="24"/>
          <w:szCs w:val="24"/>
          <w:lang w:val="en-US"/>
        </w:rPr>
      </w:pPr>
      <w:r>
        <w:rPr>
          <w:rFonts w:hint="default" w:asciiTheme="minorEastAsia" w:hAnsiTheme="minorEastAsia" w:eastAsiaTheme="minorEastAsia" w:cstheme="minorEastAsia"/>
          <w:sz w:val="24"/>
          <w:szCs w:val="24"/>
          <w:lang w:val="en-US" w:eastAsia="zh-Hans"/>
        </w:rPr>
        <w:t>本</w:t>
      </w:r>
      <w:r>
        <w:rPr>
          <w:rFonts w:hint="default" w:asciiTheme="minorEastAsia" w:hAnsiTheme="minorEastAsia" w:eastAsiaTheme="minorEastAsia" w:cstheme="minorEastAsia"/>
          <w:sz w:val="24"/>
          <w:szCs w:val="24"/>
          <w:lang w:val="en-US" w:eastAsia="zh-CN"/>
        </w:rPr>
        <w:t>协议</w:t>
      </w:r>
      <w:r>
        <w:rPr>
          <w:rFonts w:hint="default" w:asciiTheme="minorEastAsia" w:hAnsiTheme="minorEastAsia" w:eastAsiaTheme="minorEastAsia" w:cstheme="minorEastAsia"/>
          <w:sz w:val="24"/>
          <w:szCs w:val="24"/>
          <w:lang w:val="en-US" w:eastAsia="zh-Hans"/>
        </w:rPr>
        <w:t>壹式肆份，甲乙双方各执贰份，均具有同等法律效力，自双方</w:t>
      </w:r>
      <w:r>
        <w:rPr>
          <w:rFonts w:hint="default" w:asciiTheme="minorEastAsia" w:hAnsiTheme="minorEastAsia" w:eastAsiaTheme="minorEastAsia" w:cstheme="minorEastAsia"/>
          <w:sz w:val="24"/>
          <w:szCs w:val="24"/>
          <w:lang w:val="en-US" w:eastAsia="zh-CN"/>
        </w:rPr>
        <w:t>法定代表人或授权代表</w:t>
      </w:r>
      <w:r>
        <w:rPr>
          <w:rFonts w:hint="default" w:asciiTheme="minorEastAsia" w:hAnsiTheme="minorEastAsia" w:eastAsiaTheme="minorEastAsia" w:cstheme="minorEastAsia"/>
          <w:sz w:val="24"/>
          <w:szCs w:val="24"/>
          <w:lang w:val="en-US" w:eastAsia="zh-Hans"/>
        </w:rPr>
        <w:t>签字</w:t>
      </w:r>
      <w:r>
        <w:rPr>
          <w:rFonts w:hint="default" w:asciiTheme="minorEastAsia" w:hAnsiTheme="minorEastAsia" w:eastAsiaTheme="minorEastAsia" w:cstheme="minorEastAsia"/>
          <w:sz w:val="24"/>
          <w:szCs w:val="24"/>
          <w:lang w:val="en-US" w:eastAsia="zh-CN"/>
        </w:rPr>
        <w:t>并</w:t>
      </w:r>
      <w:r>
        <w:rPr>
          <w:rFonts w:hint="default" w:asciiTheme="minorEastAsia" w:hAnsiTheme="minorEastAsia" w:eastAsiaTheme="minorEastAsia" w:cstheme="minorEastAsia"/>
          <w:sz w:val="24"/>
          <w:szCs w:val="24"/>
          <w:lang w:val="en-US" w:eastAsia="zh-Hans"/>
        </w:rPr>
        <w:t>盖章</w:t>
      </w:r>
      <w:r>
        <w:rPr>
          <w:rFonts w:hint="default" w:asciiTheme="minorEastAsia" w:hAnsiTheme="minorEastAsia" w:eastAsiaTheme="minorEastAsia" w:cstheme="minorEastAsia"/>
          <w:sz w:val="24"/>
          <w:szCs w:val="24"/>
          <w:lang w:val="en-US" w:eastAsia="zh-CN"/>
        </w:rPr>
        <w:t>（公章或合同专用章）</w:t>
      </w:r>
      <w:r>
        <w:rPr>
          <w:rFonts w:hint="default" w:asciiTheme="minorEastAsia" w:hAnsiTheme="minorEastAsia" w:eastAsiaTheme="minorEastAsia" w:cstheme="minorEastAsia"/>
          <w:sz w:val="24"/>
          <w:szCs w:val="24"/>
          <w:lang w:val="en-US" w:eastAsia="zh-Hans"/>
        </w:rPr>
        <w:t>之日起生效。</w:t>
      </w:r>
    </w:p>
    <w:p w14:paraId="360DEEFD">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eastAsia="zh-Hans"/>
        </w:rPr>
        <w:t>甲方（委托方）：</w:t>
      </w:r>
      <w:r>
        <w:rPr>
          <w:rFonts w:hint="eastAsia" w:asciiTheme="minorEastAsia" w:hAnsiTheme="minorEastAsia" w:eastAsiaTheme="minorEastAsia" w:cstheme="minorEastAsia"/>
          <w:b w:val="0"/>
          <w:bCs w:val="0"/>
          <w:sz w:val="24"/>
          <w:szCs w:val="24"/>
          <w:u w:val="single"/>
          <w:lang w:val="en-US"/>
        </w:rPr>
        <w:t xml:space="preserve"> </w:t>
      </w:r>
      <w:r>
        <w:rPr>
          <w:rFonts w:hint="eastAsia" w:asciiTheme="minorEastAsia" w:hAnsiTheme="minorEastAsia" w:eastAsiaTheme="minorEastAsia" w:cstheme="minorEastAsia"/>
          <w:b w:val="0"/>
          <w:bCs w:val="0"/>
          <w:sz w:val="24"/>
          <w:szCs w:val="24"/>
          <w:u w:val="single"/>
          <w:lang w:val="en-US" w:eastAsia="zh-CN"/>
        </w:rPr>
        <w:t>内蒙古交通物资有限责任公司</w:t>
      </w:r>
      <w:r>
        <w:rPr>
          <w:rFonts w:hint="eastAsia" w:asciiTheme="minorEastAsia" w:hAnsiTheme="minorEastAsia" w:eastAsiaTheme="minorEastAsia" w:cstheme="minorEastAsia"/>
          <w:b w:val="0"/>
          <w:bCs w:val="0"/>
          <w:sz w:val="24"/>
          <w:szCs w:val="24"/>
          <w:u w:val="single"/>
          <w:lang w:val="en-US"/>
        </w:rPr>
        <w:t xml:space="preserve"> </w:t>
      </w:r>
    </w:p>
    <w:p w14:paraId="158C11F0">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rPr>
        <w:t>法定代表人（或授权代表）：</w:t>
      </w:r>
      <w:r>
        <w:rPr>
          <w:rFonts w:hint="eastAsia" w:asciiTheme="minorEastAsia" w:hAnsiTheme="minorEastAsia" w:eastAsiaTheme="minorEastAsia" w:cstheme="minorEastAsia"/>
          <w:b w:val="0"/>
          <w:bCs w:val="0"/>
          <w:sz w:val="24"/>
          <w:szCs w:val="24"/>
          <w:u w:val="single"/>
          <w:lang w:val="en-US"/>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rPr>
        <w:t xml:space="preserve">             </w:t>
      </w:r>
    </w:p>
    <w:p w14:paraId="5A06ADA1">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Hans"/>
        </w:rPr>
        <w:t>乙方（受托方）：</w:t>
      </w:r>
      <w:r>
        <w:rPr>
          <w:rFonts w:hint="eastAsia" w:asciiTheme="minorEastAsia" w:hAnsiTheme="minorEastAsia" w:eastAsiaTheme="minorEastAsia" w:cstheme="minorEastAsia"/>
          <w:b w:val="0"/>
          <w:bCs w:val="0"/>
          <w:sz w:val="24"/>
          <w:szCs w:val="24"/>
          <w:lang w:val="en-US" w:eastAsia="zh-CN"/>
        </w:rPr>
        <w:t xml:space="preserve">    </w:t>
      </w:r>
    </w:p>
    <w:p w14:paraId="7EADD264">
      <w:pPr>
        <w:keepNext w:val="0"/>
        <w:keepLines w:val="0"/>
        <w:pageBreakBefore w:val="0"/>
        <w:widowControl w:val="0"/>
        <w:kinsoku/>
        <w:wordWrap/>
        <w:overflowPunct/>
        <w:topLinePunct w:val="0"/>
        <w:autoSpaceDE/>
        <w:autoSpaceDN/>
        <w:bidi w:val="0"/>
        <w:adjustRightInd w:val="0"/>
        <w:snapToGrid w:val="0"/>
        <w:spacing w:afterLines="0" w:line="560" w:lineRule="exact"/>
        <w:ind w:firstLine="480" w:firstLineChars="200"/>
        <w:jc w:val="both"/>
        <w:textAlignment w:val="auto"/>
        <w:rPr>
          <w:rFonts w:hint="eastAsia" w:asciiTheme="minorEastAsia" w:hAnsiTheme="minorEastAsia" w:eastAsiaTheme="minorEastAsia" w:cstheme="minorEastAsia"/>
          <w:b w:val="0"/>
          <w:bCs w:val="0"/>
          <w:sz w:val="24"/>
          <w:szCs w:val="24"/>
          <w:u w:val="single"/>
          <w:lang w:val="en-US"/>
        </w:rPr>
      </w:pPr>
      <w:r>
        <w:rPr>
          <w:rFonts w:hint="eastAsia" w:asciiTheme="minorEastAsia" w:hAnsiTheme="minorEastAsia" w:eastAsiaTheme="minorEastAsia" w:cstheme="minorEastAsia"/>
          <w:b w:val="0"/>
          <w:bCs w:val="0"/>
          <w:sz w:val="24"/>
          <w:szCs w:val="24"/>
          <w:lang w:val="en-US"/>
        </w:rPr>
        <w:t>负责人（或授权代表）：</w:t>
      </w:r>
      <w:r>
        <w:rPr>
          <w:rFonts w:hint="eastAsia" w:asciiTheme="minorEastAsia" w:hAnsiTheme="minorEastAsia" w:eastAsiaTheme="minorEastAsia" w:cstheme="minorEastAsia"/>
          <w:b w:val="0"/>
          <w:bCs w:val="0"/>
          <w:sz w:val="24"/>
          <w:szCs w:val="24"/>
          <w:u w:val="single"/>
          <w:lang w:val="en-US"/>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rPr>
        <w:t xml:space="preserve">   </w:t>
      </w:r>
    </w:p>
    <w:p w14:paraId="31A0B52B">
      <w:pPr>
        <w:pStyle w:val="4"/>
        <w:pageBreakBefore w:val="0"/>
        <w:kinsoku/>
        <w:overflowPunct/>
        <w:topLinePunct w:val="0"/>
        <w:autoSpaceDE/>
        <w:autoSpaceDN/>
        <w:bidi w:val="0"/>
        <w:spacing w:before="0" w:afterLines="0" w:line="560" w:lineRule="exact"/>
        <w:ind w:left="0" w:leftChars="0" w:firstLine="480" w:firstLineChars="200"/>
        <w:textAlignment w:val="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szCs w:val="24"/>
          <w:lang w:val="en-US" w:eastAsia="zh"/>
        </w:rPr>
        <w:t>签订</w:t>
      </w:r>
      <w:r>
        <w:rPr>
          <w:rFonts w:hint="eastAsia" w:asciiTheme="minorEastAsia" w:hAnsiTheme="minorEastAsia" w:eastAsiaTheme="minorEastAsia" w:cstheme="minorEastAsia"/>
          <w:b w:val="0"/>
          <w:bCs w:val="0"/>
          <w:sz w:val="24"/>
          <w:szCs w:val="24"/>
          <w:lang w:val="en-US"/>
        </w:rPr>
        <w:t>日期：</w:t>
      </w:r>
      <w:r>
        <w:rPr>
          <w:rFonts w:hint="eastAsia" w:asciiTheme="minorEastAsia" w:hAnsiTheme="minorEastAsia" w:eastAsiaTheme="minorEastAsia" w:cstheme="minorEastAsia"/>
          <w:b w:val="0"/>
          <w:bCs w:val="0"/>
          <w:sz w:val="24"/>
          <w:szCs w:val="24"/>
          <w:u w:val="single"/>
          <w:lang w:val="en-US" w:eastAsia="zh-CN"/>
        </w:rPr>
        <w:t xml:space="preserve">              </w:t>
      </w:r>
    </w:p>
    <w:bookmarkEnd w:id="32"/>
    <w:p w14:paraId="74AF8B87">
      <w:pPr>
        <w:pStyle w:val="2"/>
        <w:pageBreakBefore w:val="0"/>
        <w:widowControl/>
        <w:numPr>
          <w:ilvl w:val="0"/>
          <w:numId w:val="0"/>
        </w:numPr>
        <w:kinsoku/>
        <w:overflowPunct/>
        <w:topLinePunct w:val="0"/>
        <w:autoSpaceDE/>
        <w:autoSpaceDN/>
        <w:bidi w:val="0"/>
        <w:spacing w:line="560" w:lineRule="exact"/>
        <w:ind w:left="0" w:leftChars="0" w:firstLine="640" w:firstLineChars="200"/>
        <w:jc w:val="center"/>
        <w:textAlignment w:val="auto"/>
        <w:rPr>
          <w:rFonts w:hint="eastAsia" w:ascii="Times New Roman" w:hAnsi="Times New Roman" w:eastAsia="黑体" w:cs="Times New Roman"/>
          <w:b w:val="0"/>
          <w:color w:val="000000"/>
          <w:kern w:val="44"/>
          <w:sz w:val="32"/>
          <w:szCs w:val="44"/>
          <w:lang w:bidi="ar-SA"/>
        </w:rPr>
      </w:pPr>
      <w:bookmarkStart w:id="33" w:name="_Toc29512"/>
    </w:p>
    <w:p w14:paraId="10962C1F">
      <w:pPr>
        <w:pStyle w:val="2"/>
        <w:pageBreakBefore w:val="0"/>
        <w:widowControl/>
        <w:numPr>
          <w:ilvl w:val="0"/>
          <w:numId w:val="0"/>
        </w:numPr>
        <w:kinsoku/>
        <w:overflowPunct/>
        <w:topLinePunct w:val="0"/>
        <w:autoSpaceDE/>
        <w:autoSpaceDN/>
        <w:bidi w:val="0"/>
        <w:spacing w:line="560" w:lineRule="exact"/>
        <w:ind w:left="0" w:leftChars="0" w:firstLine="640" w:firstLineChars="200"/>
        <w:jc w:val="center"/>
        <w:textAlignment w:val="auto"/>
        <w:rPr>
          <w:rFonts w:hint="eastAsia" w:ascii="Times New Roman" w:hAnsi="Times New Roman" w:eastAsia="黑体" w:cs="Times New Roman"/>
          <w:b w:val="0"/>
          <w:color w:val="000000"/>
          <w:kern w:val="44"/>
          <w:sz w:val="32"/>
          <w:szCs w:val="44"/>
          <w:lang w:bidi="ar-SA"/>
        </w:rPr>
      </w:pPr>
    </w:p>
    <w:p w14:paraId="43E13CB5">
      <w:pPr>
        <w:pStyle w:val="2"/>
        <w:pageBreakBefore w:val="0"/>
        <w:widowControl/>
        <w:numPr>
          <w:ilvl w:val="0"/>
          <w:numId w:val="0"/>
        </w:numPr>
        <w:kinsoku/>
        <w:overflowPunct/>
        <w:topLinePunct w:val="0"/>
        <w:autoSpaceDE/>
        <w:autoSpaceDN/>
        <w:bidi w:val="0"/>
        <w:spacing w:line="560" w:lineRule="exact"/>
        <w:ind w:left="0" w:leftChars="0" w:firstLine="640" w:firstLineChars="200"/>
        <w:jc w:val="center"/>
        <w:textAlignment w:val="auto"/>
        <w:rPr>
          <w:b w:val="0"/>
        </w:rPr>
      </w:pPr>
      <w:r>
        <w:rPr>
          <w:rFonts w:hint="eastAsia" w:ascii="Times New Roman" w:hAnsi="Times New Roman" w:eastAsia="黑体" w:cs="Times New Roman"/>
          <w:b w:val="0"/>
          <w:color w:val="000000"/>
          <w:kern w:val="44"/>
          <w:sz w:val="32"/>
          <w:szCs w:val="44"/>
          <w:lang w:bidi="ar-SA"/>
        </w:rPr>
        <w:t>第四章</w:t>
      </w:r>
      <w:r>
        <w:t>响应文件格式
</w:t>
      </w:r>
      <w:bookmarkEnd w:id="33"/>
    </w:p>
    <w:p w14:paraId="0D3768C9">
      <w:pPr>
        <w:pStyle w:val="3"/>
        <w:pageBreakBefore w:val="0"/>
        <w:widowControl/>
        <w:numPr>
          <w:ilvl w:val="0"/>
          <w:numId w:val="0"/>
        </w:numPr>
        <w:kinsoku/>
        <w:overflowPunct/>
        <w:topLinePunct w:val="0"/>
        <w:autoSpaceDE/>
        <w:autoSpaceDN/>
        <w:bidi w:val="0"/>
        <w:spacing w:line="560" w:lineRule="exact"/>
        <w:ind w:left="0" w:leftChars="0" w:firstLine="600" w:firstLineChars="200"/>
        <w:textAlignment w:val="auto"/>
        <w:outlineLvl w:val="0"/>
        <w:rPr>
          <w:rFonts w:hint="eastAsia" w:ascii="黑体" w:hAnsi="黑体" w:eastAsia="黑体" w:cs="黑体"/>
          <w:b w:val="0"/>
        </w:rPr>
      </w:pPr>
      <w:bookmarkStart w:id="34" w:name="_Toc9276"/>
      <w:r>
        <w:rPr>
          <w:rFonts w:hint="eastAsia" w:ascii="黑体" w:hAnsi="黑体" w:eastAsia="黑体" w:cs="黑体"/>
          <w:b w:val="0"/>
          <w:kern w:val="2"/>
          <w:sz w:val="30"/>
          <w:szCs w:val="32"/>
          <w:lang w:bidi="ar-SA"/>
        </w:rPr>
        <w:t>一、</w:t>
      </w:r>
      <w:r>
        <w:t>投标函
</w:t>
      </w:r>
      <w:bookmarkEnd w:id="34"/>
    </w:p>
    <w:p w14:paraId="5920EF98">
      <w:pPr>
        <w:pStyle w:val="11"/>
        <w:pageBreakBefore w:val="0"/>
        <w:widowControl/>
        <w:kinsoku/>
        <w:overflowPunct/>
        <w:topLinePunct w:val="0"/>
        <w:autoSpaceDE/>
        <w:autoSpaceDN/>
        <w:bidi w:val="0"/>
        <w:spacing w:line="560" w:lineRule="exact"/>
        <w:ind w:firstLine="480" w:firstLineChars="200"/>
        <w:textAlignment w:val="auto"/>
      </w:pPr>
      <w:r>
        <w:t>致：内蒙古交通物资有限责任公司
</w:t>
      </w:r>
    </w:p>
    <w:p w14:paraId="47610D8E">
      <w:pPr>
        <w:pStyle w:val="11"/>
        <w:pageBreakBefore w:val="0"/>
        <w:widowControl/>
        <w:numPr>
          <w:ilvl w:val="0"/>
          <w:numId w:val="0"/>
        </w:numPr>
        <w:kinsoku/>
        <w:overflowPunct/>
        <w:topLinePunct w:val="0"/>
        <w:autoSpaceDE/>
        <w:autoSpaceDN/>
        <w:bidi w:val="0"/>
        <w:spacing w:line="560" w:lineRule="exact"/>
        <w:ind w:firstLine="480" w:firstLineChars="200"/>
        <w:textAlignment w:val="auto"/>
        <w:rPr>
          <w:b w:val="0"/>
          <w:color w:val="3370FF"/>
        </w:rPr>
      </w:pPr>
      <w:r>
        <w:t>我方已仔细研究了 [项目名称] 采购文件的全部内容，愿意以人民币（大写）</w:t>
      </w:r>
      <w:r>
        <w:rPr>
          <w:u w:val="single"/>
        </w:rPr>
        <w:t xml:space="preserve">       </w:t>
      </w:r>
      <w:r>
        <w:t>元（￥</w:t>
      </w:r>
      <w:r>
        <w:rPr>
          <w:u w:val="single"/>
        </w:rPr>
        <w:t xml:space="preserve">             </w:t>
      </w:r>
      <w:r>
        <w:t>）的投标总报价，按合同约定实施和完成本项目的合规管理体系有效性评价工作。
</w:t>
      </w:r>
    </w:p>
    <w:p w14:paraId="41FF6C5C">
      <w:pPr>
        <w:pStyle w:val="11"/>
        <w:pageBreakBefore w:val="0"/>
        <w:widowControl/>
        <w:numPr>
          <w:ilvl w:val="0"/>
          <w:numId w:val="0"/>
        </w:numPr>
        <w:kinsoku/>
        <w:overflowPunct/>
        <w:topLinePunct w:val="0"/>
        <w:autoSpaceDE/>
        <w:autoSpaceDN/>
        <w:bidi w:val="0"/>
        <w:spacing w:line="560" w:lineRule="exact"/>
        <w:ind w:firstLine="480" w:firstLineChars="200"/>
        <w:textAlignment w:val="auto"/>
        <w:rPr>
          <w:b w:val="0"/>
          <w:color w:val="3370FF"/>
        </w:rPr>
      </w:pPr>
      <w:r>
        <w:t>我方承诺在响应文件有效期内不修改、撤销响应文件。
</w:t>
      </w:r>
    </w:p>
    <w:p w14:paraId="1FAB7FFE">
      <w:pPr>
        <w:pStyle w:val="11"/>
        <w:pageBreakBefore w:val="0"/>
        <w:widowControl/>
        <w:numPr>
          <w:ilvl w:val="0"/>
          <w:numId w:val="0"/>
        </w:numPr>
        <w:kinsoku/>
        <w:overflowPunct/>
        <w:topLinePunct w:val="0"/>
        <w:autoSpaceDE/>
        <w:autoSpaceDN/>
        <w:bidi w:val="0"/>
        <w:spacing w:line="560" w:lineRule="exact"/>
        <w:ind w:left="480" w:leftChars="0" w:firstLine="480" w:firstLineChars="200"/>
        <w:textAlignment w:val="auto"/>
        <w:rPr>
          <w:b w:val="0"/>
          <w:color w:val="3370FF"/>
        </w:rPr>
      </w:pPr>
      <w:r>
        <w:t>如我方成交：
</w:t>
      </w:r>
    </w:p>
    <w:p w14:paraId="40194891">
      <w:pPr>
        <w:pStyle w:val="11"/>
        <w:pageBreakBefore w:val="0"/>
        <w:widowControl/>
        <w:numPr>
          <w:ilvl w:val="0"/>
          <w:numId w:val="0"/>
        </w:numPr>
        <w:kinsoku/>
        <w:overflowPunct/>
        <w:topLinePunct w:val="0"/>
        <w:autoSpaceDE/>
        <w:autoSpaceDN/>
        <w:bidi w:val="0"/>
        <w:spacing w:line="560" w:lineRule="exact"/>
        <w:ind w:left="480" w:leftChars="0" w:firstLine="480" w:firstLineChars="200"/>
        <w:textAlignment w:val="auto"/>
        <w:rPr>
          <w:rFonts w:hint="eastAsia" w:ascii="宋体" w:hAnsi="宋体" w:eastAsia="宋体" w:cs="宋体"/>
          <w:b w:val="0"/>
          <w:color w:val="3370FF"/>
        </w:rPr>
      </w:pPr>
      <w:r>
        <w:t>我方承诺在收到成交通知书后，在成交通知书规定的期限内与你方签订合同。
</w:t>
      </w:r>
    </w:p>
    <w:p w14:paraId="5C6EBE4B">
      <w:pPr>
        <w:pStyle w:val="11"/>
        <w:pageBreakBefore w:val="0"/>
        <w:widowControl/>
        <w:numPr>
          <w:ilvl w:val="0"/>
          <w:numId w:val="0"/>
        </w:numPr>
        <w:kinsoku/>
        <w:overflowPunct/>
        <w:topLinePunct w:val="0"/>
        <w:autoSpaceDE/>
        <w:autoSpaceDN/>
        <w:bidi w:val="0"/>
        <w:spacing w:line="560" w:lineRule="exact"/>
        <w:ind w:left="480" w:leftChars="0" w:firstLine="480" w:firstLineChars="200"/>
        <w:textAlignment w:val="auto"/>
        <w:rPr>
          <w:rFonts w:hint="eastAsia" w:ascii="宋体" w:hAnsi="宋体" w:eastAsia="宋体" w:cs="宋体"/>
          <w:b w:val="0"/>
          <w:color w:val="3370FF"/>
        </w:rPr>
      </w:pPr>
      <w:r>
        <w:t>我方承诺在合同约定的期限内完成并移交全部合同工作。
</w:t>
      </w:r>
    </w:p>
    <w:p w14:paraId="350274E4">
      <w:pPr>
        <w:pStyle w:val="11"/>
        <w:pageBreakBefore w:val="0"/>
        <w:widowControl/>
        <w:numPr>
          <w:ilvl w:val="0"/>
          <w:numId w:val="0"/>
        </w:numPr>
        <w:kinsoku/>
        <w:overflowPunct/>
        <w:topLinePunct w:val="0"/>
        <w:autoSpaceDE/>
        <w:autoSpaceDN/>
        <w:bidi w:val="0"/>
        <w:spacing w:line="560" w:lineRule="exact"/>
        <w:ind w:left="480" w:leftChars="0" w:firstLine="480" w:firstLineChars="200"/>
        <w:textAlignment w:val="auto"/>
        <w:rPr>
          <w:b w:val="0"/>
          <w:color w:val="3370FF"/>
        </w:rPr>
      </w:pPr>
      <w:r>
        <w:t>我方在此声明，所递交的响应文件及有关资料内容完整、真实和准确。
</w:t>
      </w:r>
    </w:p>
    <w:p w14:paraId="247E5ED6">
      <w:pPr>
        <w:pStyle w:val="11"/>
        <w:pageBreakBefore w:val="0"/>
        <w:widowControl/>
        <w:numPr>
          <w:ilvl w:val="0"/>
          <w:numId w:val="0"/>
        </w:numPr>
        <w:kinsoku/>
        <w:overflowPunct/>
        <w:topLinePunct w:val="0"/>
        <w:autoSpaceDE/>
        <w:autoSpaceDN/>
        <w:bidi w:val="0"/>
        <w:spacing w:line="560" w:lineRule="exact"/>
        <w:ind w:left="480" w:leftChars="0" w:firstLine="480" w:firstLineChars="200"/>
        <w:textAlignment w:val="auto"/>
        <w:rPr>
          <w:b w:val="0"/>
          <w:color w:val="3370FF"/>
        </w:rPr>
      </w:pPr>
      <w:r>
        <w:t>（其他补充说明）
</w:t>
      </w:r>
    </w:p>
    <w:p w14:paraId="55B19EB5">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律师事务所：（盖单位章）
</w:t>
      </w:r>
    </w:p>
    <w:p w14:paraId="01DE68DE">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法定代表人或其委托代理人：（签字或盖章）
</w:t>
      </w:r>
    </w:p>
    <w:p w14:paraId="056FA63C">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地址：[律师事务所地址]
</w:t>
      </w:r>
    </w:p>
    <w:p w14:paraId="08BFDB6C">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电话：[联系电话]
</w:t>
      </w:r>
    </w:p>
    <w:p w14:paraId="549003EB">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传真：[传真号码]
</w:t>
      </w:r>
    </w:p>
    <w:p w14:paraId="04B83BC7">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邮政编码：[邮编]
</w:t>
      </w:r>
    </w:p>
    <w:p w14:paraId="27E9F969">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[投标日期]
</w:t>
      </w:r>
    </w:p>
    <w:p w14:paraId="0DFD6D49">
      <w:pPr>
        <w:pStyle w:val="3"/>
        <w:pageBreakBefore w:val="0"/>
        <w:widowControl/>
        <w:numPr>
          <w:ilvl w:val="0"/>
          <w:numId w:val="19"/>
        </w:numPr>
        <w:kinsoku/>
        <w:overflowPunct/>
        <w:topLinePunct w:val="0"/>
        <w:autoSpaceDE/>
        <w:autoSpaceDN/>
        <w:bidi w:val="0"/>
        <w:spacing w:line="560" w:lineRule="exact"/>
        <w:ind w:left="0" w:leftChars="0" w:firstLine="600" w:firstLineChars="200"/>
        <w:textAlignment w:val="auto"/>
        <w:outlineLvl w:val="0"/>
        <w:rPr>
          <w:rFonts w:hint="eastAsia" w:ascii="黑体" w:hAnsi="黑体" w:eastAsia="黑体" w:cs="黑体"/>
          <w:b w:val="0"/>
        </w:rPr>
        <w:sectPr>
          <w:footerReference r:id="rId3" w:type="default"/>
          <w:pgSz w:w="11906" w:h="16838"/>
          <w:pgMar w:top="1440" w:right="1440" w:bottom="1440" w:left="1440" w:header="708" w:footer="708" w:gutter="0"/>
          <w:pgNumType w:fmt="decimal"/>
          <w:cols w:space="720" w:num="1"/>
          <w:docGrid w:linePitch="360" w:charSpace="0"/>
        </w:sectPr>
      </w:pPr>
    </w:p>
    <w:p w14:paraId="6CDBC696">
      <w:pPr>
        <w:pStyle w:val="3"/>
        <w:pageBreakBefore w:val="0"/>
        <w:widowControl/>
        <w:numPr>
          <w:ilvl w:val="0"/>
          <w:numId w:val="0"/>
        </w:numPr>
        <w:kinsoku/>
        <w:overflowPunct/>
        <w:topLinePunct w:val="0"/>
        <w:autoSpaceDE/>
        <w:autoSpaceDN/>
        <w:bidi w:val="0"/>
        <w:spacing w:line="560" w:lineRule="exact"/>
        <w:ind w:left="0" w:leftChars="0" w:firstLine="600" w:firstLineChars="200"/>
        <w:textAlignment w:val="auto"/>
        <w:outlineLvl w:val="0"/>
        <w:rPr>
          <w:rFonts w:hint="eastAsia" w:ascii="黑体" w:hAnsi="黑体" w:eastAsia="黑体" w:cs="黑体"/>
          <w:b w:val="0"/>
        </w:rPr>
      </w:pPr>
      <w:bookmarkStart w:id="35" w:name="_Toc8535"/>
      <w:r>
        <w:rPr>
          <w:rFonts w:hint="eastAsia" w:ascii="黑体" w:hAnsi="黑体" w:eastAsia="黑体" w:cs="黑体"/>
          <w:b w:val="0"/>
          <w:kern w:val="2"/>
          <w:sz w:val="30"/>
          <w:szCs w:val="32"/>
          <w:lang w:bidi="ar-SA"/>
        </w:rPr>
        <w:t>二、</w:t>
      </w:r>
      <w:r>
        <w:t>法定代表人身份证明或附有法定代表人身份证明的授权委托书
</w:t>
      </w:r>
      <w:bookmarkEnd w:id="35"/>
    </w:p>
    <w:p w14:paraId="2A91F606">
      <w:pPr>
        <w:pStyle w:val="4"/>
        <w:pageBreakBefore w:val="0"/>
        <w:widowControl/>
        <w:kinsoku/>
        <w:overflowPunct/>
        <w:topLinePunct w:val="0"/>
        <w:autoSpaceDE/>
        <w:autoSpaceDN/>
        <w:bidi w:val="0"/>
        <w:spacing w:line="560" w:lineRule="exact"/>
        <w:ind w:firstLine="600" w:firstLineChars="200"/>
        <w:textAlignment w:val="auto"/>
        <w:outlineLvl w:val="9"/>
      </w:pPr>
      <w:r>
        <w:t>法定代表人身份证明</w:t>
      </w:r>
    </w:p>
    <w:p w14:paraId="1C6B310B">
      <w:pPr>
        <w:pStyle w:val="11"/>
        <w:pageBreakBefore w:val="0"/>
        <w:widowControl/>
        <w:kinsoku/>
        <w:overflowPunct/>
        <w:topLinePunct w:val="0"/>
        <w:autoSpaceDE/>
        <w:autoSpaceDN/>
        <w:bidi w:val="0"/>
        <w:spacing w:line="560" w:lineRule="exact"/>
        <w:ind w:firstLine="480" w:firstLineChars="200"/>
        <w:textAlignment w:val="auto"/>
      </w:pPr>
      <w:r>
        <w:t>律师事务所名称：[律师事务所全称]
</w:t>
      </w:r>
    </w:p>
    <w:p w14:paraId="49B304B7">
      <w:pPr>
        <w:pStyle w:val="11"/>
        <w:pageBreakBefore w:val="0"/>
        <w:widowControl/>
        <w:kinsoku/>
        <w:overflowPunct/>
        <w:topLinePunct w:val="0"/>
        <w:autoSpaceDE/>
        <w:autoSpaceDN/>
        <w:bidi w:val="0"/>
        <w:spacing w:line="560" w:lineRule="exact"/>
        <w:ind w:firstLine="480" w:firstLineChars="200"/>
        <w:textAlignment w:val="auto"/>
      </w:pPr>
      <w:r>
        <w:t>律师事务所性质：[律师事务所性质]
</w:t>
      </w:r>
    </w:p>
    <w:p w14:paraId="761D094D">
      <w:pPr>
        <w:pStyle w:val="11"/>
        <w:pageBreakBefore w:val="0"/>
        <w:widowControl/>
        <w:kinsoku/>
        <w:overflowPunct/>
        <w:topLinePunct w:val="0"/>
        <w:autoSpaceDE/>
        <w:autoSpaceDN/>
        <w:bidi w:val="0"/>
        <w:spacing w:line="560" w:lineRule="exact"/>
        <w:ind w:firstLine="480" w:firstLineChars="200"/>
        <w:textAlignment w:val="auto"/>
      </w:pPr>
      <w:r>
        <w:t>地址：[律师事务所地址]
</w:t>
      </w:r>
    </w:p>
    <w:p w14:paraId="609A1A07">
      <w:pPr>
        <w:pStyle w:val="11"/>
        <w:pageBreakBefore w:val="0"/>
        <w:widowControl/>
        <w:kinsoku/>
        <w:overflowPunct/>
        <w:topLinePunct w:val="0"/>
        <w:autoSpaceDE/>
        <w:autoSpaceDN/>
        <w:bidi w:val="0"/>
        <w:spacing w:line="560" w:lineRule="exact"/>
        <w:ind w:firstLine="480" w:firstLineChars="200"/>
        <w:textAlignment w:val="auto"/>
      </w:pPr>
      <w:r>
        <w:t>成立时间：[成立日期]
</w:t>
      </w:r>
    </w:p>
    <w:p w14:paraId="48D10183">
      <w:pPr>
        <w:pStyle w:val="11"/>
        <w:pageBreakBefore w:val="0"/>
        <w:widowControl/>
        <w:kinsoku/>
        <w:overflowPunct/>
        <w:topLinePunct w:val="0"/>
        <w:autoSpaceDE/>
        <w:autoSpaceDN/>
        <w:bidi w:val="0"/>
        <w:spacing w:line="560" w:lineRule="exact"/>
        <w:ind w:firstLine="480" w:firstLineChars="200"/>
        <w:textAlignment w:val="auto"/>
      </w:pPr>
      <w:r>
        <w:t>经营期限：[经营期限]
</w:t>
      </w:r>
    </w:p>
    <w:p w14:paraId="0C983BD3">
      <w:pPr>
        <w:pStyle w:val="11"/>
        <w:pageBreakBefore w:val="0"/>
        <w:widowControl/>
        <w:kinsoku/>
        <w:overflowPunct/>
        <w:topLinePunct w:val="0"/>
        <w:autoSpaceDE/>
        <w:autoSpaceDN/>
        <w:bidi w:val="0"/>
        <w:spacing w:line="560" w:lineRule="exact"/>
        <w:ind w:firstLine="480" w:firstLineChars="200"/>
        <w:textAlignment w:val="auto"/>
      </w:pPr>
      <w:r>
        <w:t>姓名：[法定代表人姓名] 性别：[性别] 年龄：[年龄] 职务：[职务]
</w:t>
      </w:r>
    </w:p>
    <w:p w14:paraId="2EFD4D9B">
      <w:pPr>
        <w:pStyle w:val="11"/>
        <w:pageBreakBefore w:val="0"/>
        <w:widowControl/>
        <w:kinsoku/>
        <w:overflowPunct/>
        <w:topLinePunct w:val="0"/>
        <w:autoSpaceDE/>
        <w:autoSpaceDN/>
        <w:bidi w:val="0"/>
        <w:spacing w:line="560" w:lineRule="exact"/>
        <w:ind w:firstLine="480" w:firstLineChars="200"/>
        <w:textAlignment w:val="auto"/>
      </w:pPr>
      <w:r>
        <w:t>系 [律师事务所名称] 的法定代表人。
</w:t>
      </w:r>
    </w:p>
    <w:p w14:paraId="497E3E9B">
      <w:pPr>
        <w:pStyle w:val="11"/>
        <w:pageBreakBefore w:val="0"/>
        <w:widowControl/>
        <w:kinsoku/>
        <w:overflowPunct/>
        <w:topLinePunct w:val="0"/>
        <w:autoSpaceDE/>
        <w:autoSpaceDN/>
        <w:bidi w:val="0"/>
        <w:spacing w:line="560" w:lineRule="exact"/>
        <w:ind w:firstLine="480" w:firstLineChars="200"/>
        <w:textAlignment w:val="auto"/>
      </w:pPr>
      <w:r>
        <w:t>特此证明。
</w:t>
      </w:r>
    </w:p>
    <w:p w14:paraId="042A208F">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律师事务所：（盖单位章）
</w:t>
      </w:r>
    </w:p>
    <w:p w14:paraId="6C79BD2B">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[日期]
</w:t>
      </w:r>
    </w:p>
    <w:p w14:paraId="204DF93D">
      <w:pPr>
        <w:pStyle w:val="11"/>
        <w:pageBreakBefore w:val="0"/>
        <w:widowControl/>
        <w:kinsoku/>
        <w:overflowPunct/>
        <w:topLinePunct w:val="0"/>
        <w:autoSpaceDE/>
        <w:autoSpaceDN/>
        <w:bidi w:val="0"/>
        <w:spacing w:line="560" w:lineRule="exact"/>
        <w:ind w:firstLine="480" w:firstLineChars="200"/>
        <w:textAlignment w:val="auto"/>
      </w:pPr>
      <w:r>
        <w:t>附：法定代表人身份证复印件（正反面）
</w:t>
      </w:r>
    </w:p>
    <w:p w14:paraId="3BEBB33E">
      <w:pPr>
        <w:pStyle w:val="11"/>
        <w:pageBreakBefore w:val="0"/>
        <w:widowControl/>
        <w:kinsoku/>
        <w:overflowPunct/>
        <w:topLinePunct w:val="0"/>
        <w:autoSpaceDE/>
        <w:autoSpaceDN/>
        <w:bidi w:val="0"/>
        <w:spacing w:line="560" w:lineRule="exact"/>
        <w:ind w:firstLine="482" w:firstLineChars="200"/>
        <w:jc w:val="center"/>
        <w:textAlignment w:val="auto"/>
        <w:outlineLvl w:val="9"/>
        <w:rPr>
          <w:b/>
        </w:rPr>
        <w:sectPr>
          <w:pgSz w:w="11906" w:h="16838"/>
          <w:pgMar w:top="1440" w:right="1440" w:bottom="1440" w:left="1440" w:header="708" w:footer="708" w:gutter="0"/>
          <w:pgNumType w:fmt="decimal"/>
          <w:cols w:space="720" w:num="1"/>
          <w:docGrid w:linePitch="360" w:charSpace="0"/>
        </w:sectPr>
      </w:pPr>
    </w:p>
    <w:p w14:paraId="718CACA1">
      <w:pPr>
        <w:pStyle w:val="11"/>
        <w:pageBreakBefore w:val="0"/>
        <w:widowControl/>
        <w:kinsoku/>
        <w:overflowPunct/>
        <w:topLinePunct w:val="0"/>
        <w:autoSpaceDE/>
        <w:autoSpaceDN/>
        <w:bidi w:val="0"/>
        <w:spacing w:line="560" w:lineRule="exact"/>
        <w:ind w:firstLine="482" w:firstLineChars="200"/>
        <w:jc w:val="center"/>
        <w:textAlignment w:val="auto"/>
        <w:outlineLvl w:val="9"/>
      </w:pPr>
      <w:r>
        <w:rPr>
          <w:b/>
        </w:rPr>
        <w:t>授权委托书</w:t>
      </w:r>
    </w:p>
    <w:p w14:paraId="3E266109">
      <w:pPr>
        <w:pStyle w:val="11"/>
        <w:pageBreakBefore w:val="0"/>
        <w:widowControl/>
        <w:kinsoku/>
        <w:overflowPunct/>
        <w:topLinePunct w:val="0"/>
        <w:autoSpaceDE/>
        <w:autoSpaceDN/>
        <w:bidi w:val="0"/>
        <w:spacing w:line="560" w:lineRule="exact"/>
        <w:ind w:firstLine="480" w:firstLineChars="200"/>
        <w:textAlignment w:val="auto"/>
      </w:pPr>
      <w:r>
        <w:t>本人 [法定代表人姓名] 系 [律师事务所名称] 的法定代表人，现委托 [委托代理人姓名] 为我方代理人。代理人根据授权，以我方名义签署、澄清、说明、补正、递交、撤回、修改 [项目名称] 响应文件、签订合同和处理有关事宜，其法律后果由我方承担。
</w:t>
      </w:r>
    </w:p>
    <w:p w14:paraId="4AF06E17">
      <w:pPr>
        <w:pStyle w:val="11"/>
        <w:pageBreakBefore w:val="0"/>
        <w:widowControl/>
        <w:kinsoku/>
        <w:overflowPunct/>
        <w:topLinePunct w:val="0"/>
        <w:autoSpaceDE/>
        <w:autoSpaceDN/>
        <w:bidi w:val="0"/>
        <w:spacing w:line="560" w:lineRule="exact"/>
        <w:ind w:firstLine="480" w:firstLineChars="200"/>
        <w:textAlignment w:val="auto"/>
      </w:pPr>
      <w:r>
        <w:t>委托期限：[委托期限]。
</w:t>
      </w:r>
    </w:p>
    <w:p w14:paraId="67DB7DE1">
      <w:pPr>
        <w:pStyle w:val="11"/>
        <w:pageBreakBefore w:val="0"/>
        <w:widowControl/>
        <w:kinsoku/>
        <w:overflowPunct/>
        <w:topLinePunct w:val="0"/>
        <w:autoSpaceDE/>
        <w:autoSpaceDN/>
        <w:bidi w:val="0"/>
        <w:spacing w:line="560" w:lineRule="exact"/>
        <w:ind w:firstLine="480" w:firstLineChars="200"/>
        <w:textAlignment w:val="auto"/>
      </w:pPr>
      <w:r>
        <w:t>代理人无转委托权。
</w:t>
      </w:r>
    </w:p>
    <w:p w14:paraId="0787070A">
      <w:pPr>
        <w:pStyle w:val="11"/>
        <w:pageBreakBefore w:val="0"/>
        <w:widowControl/>
        <w:kinsoku/>
        <w:overflowPunct/>
        <w:topLinePunct w:val="0"/>
        <w:autoSpaceDE/>
        <w:autoSpaceDN/>
        <w:bidi w:val="0"/>
        <w:spacing w:line="560" w:lineRule="exact"/>
        <w:ind w:firstLine="480" w:firstLineChars="200"/>
        <w:textAlignment w:val="auto"/>
      </w:pPr>
      <w:r>
        <w:t>附：法定代表人身份证明
</w:t>
      </w:r>
    </w:p>
    <w:p w14:paraId="77F02339">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律师事务所：（盖单位章）
</w:t>
      </w:r>
    </w:p>
    <w:p w14:paraId="7503E51A">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法定代表人：（签字或盖章）
</w:t>
      </w:r>
    </w:p>
    <w:p w14:paraId="7EBC4C91">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身份证号码：[法定代表人身份证号码]
</w:t>
      </w:r>
    </w:p>
    <w:p w14:paraId="34AF2BB5">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委托代理人：（签字）
</w:t>
      </w:r>
    </w:p>
    <w:p w14:paraId="5E3CE3BE">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身份证号码：[委托代理人身份证号码]
</w:t>
      </w:r>
    </w:p>
    <w:p w14:paraId="30BBAF67">
      <w:pPr>
        <w:pStyle w:val="25"/>
        <w:pageBreakBefore w:val="0"/>
        <w:kinsoku/>
        <w:overflowPunct/>
        <w:topLinePunct w:val="0"/>
        <w:autoSpaceDE/>
        <w:autoSpaceDN/>
        <w:bidi w:val="0"/>
        <w:spacing w:line="56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[日期]
</w:t>
      </w:r>
    </w:p>
    <w:p w14:paraId="62F05628">
      <w:pPr>
        <w:pageBreakBefore w:val="0"/>
        <w:kinsoku/>
        <w:overflowPunct/>
        <w:topLinePunct w:val="0"/>
        <w:autoSpaceDE/>
        <w:autoSpaceDN/>
        <w:bidi w:val="0"/>
        <w:spacing w:line="560" w:lineRule="exact"/>
        <w:ind w:firstLine="420" w:firstLineChars="200"/>
        <w:textAlignment w:val="auto"/>
        <w:rPr>
          <w:rFonts w:hint="eastAsia" w:ascii="黑体" w:hAnsi="黑体" w:eastAsia="黑体" w:cs="黑体"/>
          <w:b w:val="0"/>
        </w:rPr>
      </w:pPr>
      <w:r>
        <w:br w:type="page"/>
      </w:r>
    </w:p>
    <w:p w14:paraId="725760F8">
      <w:pPr>
        <w:pStyle w:val="3"/>
        <w:widowControl/>
        <w:numPr>
          <w:ilvl w:val="0"/>
          <w:numId w:val="0"/>
        </w:numPr>
        <w:topLinePunct w:val="0"/>
        <w:ind w:left="0" w:leftChars="0" w:firstLine="600" w:firstLineChars="200"/>
        <w:outlineLvl w:val="0"/>
        <w:rPr>
          <w:rFonts w:hint="eastAsia" w:ascii="黑体" w:hAnsi="黑体" w:eastAsia="黑体" w:cs="黑体"/>
          <w:b w:val="0"/>
        </w:rPr>
      </w:pPr>
      <w:bookmarkStart w:id="36" w:name="_Toc18934"/>
      <w:r>
        <w:rPr>
          <w:rFonts w:hint="eastAsia" w:ascii="黑体" w:hAnsi="黑体" w:eastAsia="黑体" w:cs="黑体"/>
          <w:b w:val="0"/>
          <w:kern w:val="2"/>
          <w:sz w:val="30"/>
          <w:szCs w:val="32"/>
          <w:lang w:bidi="ar-SA"/>
        </w:rPr>
        <w:t>三、</w:t>
      </w:r>
      <w:r>
        <w:t>律师事务所基本情况表
</w:t>
      </w:r>
      <w:bookmarkEnd w:id="36"/>
    </w:p>
    <w:p w14:paraId="45D88ECC">
      <w:pPr>
        <w:pStyle w:val="25"/>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09"/>
        <w:gridCol w:w="4365"/>
      </w:tblGrid>
      <w:tr w14:paraId="124D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3AB7279">
            <w:pPr>
              <w:pStyle w:val="25"/>
            </w:pPr>
            <w:r>
              <w:t>律师事务所名称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1CF3B70">
            <w:pPr>
              <w:pStyle w:val="25"/>
            </w:pPr>
          </w:p>
        </w:tc>
      </w:tr>
      <w:tr w14:paraId="31B2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253ACC4">
            <w:pPr>
              <w:pStyle w:val="25"/>
            </w:pPr>
            <w:r>
              <w:t>执业许可证号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CF82A7B">
            <w:pPr>
              <w:pStyle w:val="25"/>
            </w:pPr>
          </w:p>
        </w:tc>
      </w:tr>
      <w:tr w14:paraId="5DCD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D6A7BE9">
            <w:pPr>
              <w:pStyle w:val="25"/>
            </w:pPr>
            <w:r>
              <w:t>成立时间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AA31434">
            <w:pPr>
              <w:pStyle w:val="25"/>
            </w:pPr>
          </w:p>
        </w:tc>
      </w:tr>
      <w:tr w14:paraId="6C95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F933FB0">
            <w:pPr>
              <w:pStyle w:val="25"/>
            </w:pPr>
            <w:r>
              <w:t>组织形式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4356740">
            <w:pPr>
              <w:pStyle w:val="25"/>
            </w:pPr>
          </w:p>
        </w:tc>
      </w:tr>
      <w:tr w14:paraId="2F7F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27FB7CC">
            <w:pPr>
              <w:pStyle w:val="25"/>
            </w:pPr>
            <w:r>
              <w:t>注册地址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84AE613">
            <w:pPr>
              <w:pStyle w:val="25"/>
            </w:pPr>
          </w:p>
        </w:tc>
      </w:tr>
      <w:tr w14:paraId="1AF7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D391853">
            <w:pPr>
              <w:pStyle w:val="25"/>
            </w:pPr>
            <w:r>
              <w:t>联系方式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17633AD">
            <w:pPr>
              <w:pStyle w:val="25"/>
            </w:pPr>
            <w:r>
              <w:t>电话：传真：网址：邮政编码：
</w:t>
            </w:r>
          </w:p>
        </w:tc>
      </w:tr>
      <w:tr w14:paraId="0590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5DFF8DE">
            <w:pPr>
              <w:pStyle w:val="25"/>
            </w:pPr>
            <w:r>
              <w:t>负责人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1F6A642">
            <w:pPr>
              <w:pStyle w:val="25"/>
            </w:pPr>
            <w:r>
              <w:t>姓名：职务：
</w:t>
            </w:r>
          </w:p>
        </w:tc>
      </w:tr>
      <w:tr w14:paraId="6AA4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FFEA5F9">
            <w:pPr>
              <w:pStyle w:val="25"/>
            </w:pPr>
            <w:r>
              <w:t>律师事务所人数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8CA578E">
            <w:pPr>
              <w:pStyle w:val="25"/>
            </w:pPr>
          </w:p>
        </w:tc>
      </w:tr>
      <w:tr w14:paraId="22AE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F8D2401">
            <w:pPr>
              <w:pStyle w:val="25"/>
            </w:pPr>
            <w:r>
              <w:t>近三年营业额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D39169A">
            <w:pPr>
              <w:pStyle w:val="25"/>
            </w:pPr>
          </w:p>
        </w:tc>
      </w:tr>
      <w:tr w14:paraId="5CB3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A4642AB">
            <w:pPr>
              <w:pStyle w:val="25"/>
            </w:pPr>
            <w:r>
              <w:t>近三年诉讼及仲裁情况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5082681">
            <w:pPr>
              <w:pStyle w:val="25"/>
            </w:pPr>
          </w:p>
        </w:tc>
      </w:tr>
      <w:tr w14:paraId="6F65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0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A0C7ACF">
            <w:pPr>
              <w:pStyle w:val="25"/>
            </w:pPr>
            <w:r>
              <w:t>备注
</w:t>
            </w:r>
          </w:p>
        </w:tc>
        <w:tc>
          <w:tcPr>
            <w:tcW w:w="436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9048D09">
            <w:pPr>
              <w:pStyle w:val="25"/>
            </w:pPr>
          </w:p>
        </w:tc>
      </w:tr>
    </w:tbl>
    <w:p w14:paraId="01CADCBF">
      <w:pPr>
        <w:pStyle w:val="11"/>
        <w:widowControl/>
      </w:pPr>
      <w:r>
        <w:t>附：律师事务所执业许可证复印件、组织机构代码证复印件（如有）等相关证明材料
</w:t>
      </w:r>
    </w:p>
    <w:p w14:paraId="1CD9DE7E">
      <w:pPr>
        <w:pStyle w:val="3"/>
        <w:widowControl/>
        <w:numPr>
          <w:ilvl w:val="0"/>
          <w:numId w:val="19"/>
        </w:numPr>
        <w:topLinePunct w:val="0"/>
        <w:ind w:left="0" w:leftChars="0" w:firstLine="0" w:firstLineChars="0"/>
        <w:outlineLvl w:val="0"/>
        <w:rPr>
          <w:rFonts w:hint="eastAsia" w:ascii="黑体" w:hAnsi="黑体" w:eastAsia="黑体" w:cs="黑体"/>
          <w:b w:val="0"/>
        </w:rPr>
        <w:sectPr>
          <w:pgSz w:w="11906" w:h="16838"/>
          <w:pgMar w:top="1440" w:right="1440" w:bottom="1440" w:left="1440" w:header="708" w:footer="708" w:gutter="0"/>
          <w:pgNumType w:fmt="decimal"/>
          <w:cols w:space="720" w:num="1"/>
          <w:docGrid w:linePitch="360" w:charSpace="0"/>
        </w:sectPr>
      </w:pPr>
    </w:p>
    <w:p w14:paraId="2CDE6B0A">
      <w:pPr>
        <w:pStyle w:val="3"/>
        <w:widowControl/>
        <w:numPr>
          <w:ilvl w:val="0"/>
          <w:numId w:val="0"/>
        </w:numPr>
        <w:topLinePunct w:val="0"/>
        <w:ind w:left="0" w:leftChars="0" w:firstLine="600" w:firstLineChars="200"/>
        <w:outlineLvl w:val="0"/>
        <w:rPr>
          <w:rFonts w:hint="eastAsia" w:ascii="黑体" w:hAnsi="黑体" w:eastAsia="黑体" w:cs="黑体"/>
          <w:b w:val="0"/>
        </w:rPr>
      </w:pPr>
      <w:bookmarkStart w:id="37" w:name="_Toc21993"/>
      <w:r>
        <w:rPr>
          <w:rFonts w:hint="eastAsia" w:ascii="黑体" w:hAnsi="黑体" w:eastAsia="黑体" w:cs="黑体"/>
          <w:b w:val="0"/>
          <w:kern w:val="2"/>
          <w:sz w:val="30"/>
          <w:szCs w:val="32"/>
          <w:lang w:bidi="ar-SA"/>
        </w:rPr>
        <w:t>四、</w:t>
      </w:r>
      <w:r>
        <w:t>项目负责人简历表
</w:t>
      </w:r>
      <w:bookmarkEnd w:id="37"/>
    </w:p>
    <w:p w14:paraId="60830167">
      <w:pPr>
        <w:pStyle w:val="25"/>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52"/>
        <w:gridCol w:w="1674"/>
        <w:gridCol w:w="1561"/>
        <w:gridCol w:w="1450"/>
        <w:gridCol w:w="1561"/>
        <w:gridCol w:w="1468"/>
      </w:tblGrid>
      <w:tr w14:paraId="4882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EAAF32F">
            <w:pPr>
              <w:pStyle w:val="25"/>
            </w:pPr>
            <w:r>
              <w:t>姓名
</w:t>
            </w: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A58DD78">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DB67E1B">
            <w:pPr>
              <w:pStyle w:val="25"/>
            </w:pPr>
            <w:r>
              <w:t>性别
</w:t>
            </w: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6E09EE0">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FFC81AC">
            <w:pPr>
              <w:pStyle w:val="25"/>
            </w:pPr>
            <w:r>
              <w:t>年龄
</w:t>
            </w:r>
          </w:p>
        </w:tc>
        <w:tc>
          <w:tcPr>
            <w:tcW w:w="79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F3A54C8">
            <w:pPr>
              <w:pStyle w:val="25"/>
            </w:pPr>
          </w:p>
        </w:tc>
      </w:tr>
      <w:tr w14:paraId="4B10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3A167B5">
            <w:pPr>
              <w:pStyle w:val="25"/>
            </w:pPr>
            <w:r>
              <w:t>职务
</w:t>
            </w: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C4BE58D">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77C2AE4">
            <w:pPr>
              <w:pStyle w:val="25"/>
            </w:pPr>
            <w:r>
              <w:t>职称
</w:t>
            </w: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70CF662">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F0C3F03">
            <w:pPr>
              <w:pStyle w:val="25"/>
            </w:pPr>
            <w:r>
              <w:t>学历
</w:t>
            </w:r>
          </w:p>
        </w:tc>
        <w:tc>
          <w:tcPr>
            <w:tcW w:w="79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A833004">
            <w:pPr>
              <w:pStyle w:val="25"/>
            </w:pPr>
          </w:p>
        </w:tc>
      </w:tr>
      <w:tr w14:paraId="6D4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1F845E1">
            <w:pPr>
              <w:pStyle w:val="25"/>
            </w:pPr>
            <w:r>
              <w:t>参加工作时间
</w:t>
            </w: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C95B974">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D6D4A65">
            <w:pPr>
              <w:pStyle w:val="25"/>
            </w:pPr>
            <w:r>
              <w:t>从事律师工作年限
</w:t>
            </w: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6D7EB7B">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B377611">
            <w:pPr>
              <w:pStyle w:val="25"/>
            </w:pPr>
          </w:p>
        </w:tc>
        <w:tc>
          <w:tcPr>
            <w:tcW w:w="79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E2C559B">
            <w:pPr>
              <w:pStyle w:val="25"/>
            </w:pPr>
          </w:p>
        </w:tc>
      </w:tr>
      <w:tr w14:paraId="3900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AF95B68">
            <w:pPr>
              <w:pStyle w:val="25"/>
            </w:pPr>
            <w:r>
              <w:t>律师执业资格证号
</w:t>
            </w:r>
          </w:p>
        </w:tc>
        <w:tc>
          <w:tcPr>
            <w:tcW w:w="4161" w:type="pct"/>
            <w:gridSpan w:val="5"/>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A8E099C">
            <w:pPr>
              <w:pStyle w:val="25"/>
            </w:pPr>
          </w:p>
        </w:tc>
      </w:tr>
      <w:tr w14:paraId="54CA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vMerge w:val="restart"/>
            <w:tcBorders>
              <w:top w:val="single" w:color="auto" w:sz="4" w:space="0"/>
              <w:left w:val="single" w:color="auto" w:sz="4" w:space="0"/>
              <w:right w:val="single" w:color="auto" w:sz="4" w:space="0"/>
            </w:tcBorders>
            <w:tcMar>
              <w:top w:w="60" w:type="dxa"/>
              <w:left w:w="120" w:type="dxa"/>
              <w:bottom w:w="30" w:type="dxa"/>
              <w:right w:w="120" w:type="dxa"/>
            </w:tcMar>
          </w:tcPr>
          <w:p w14:paraId="0D4936A5">
            <w:pPr>
              <w:pStyle w:val="25"/>
            </w:pPr>
            <w:r>
              <w:t>近三年类似项目业绩情况
</w:t>
            </w: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45182AB">
            <w:pPr>
              <w:pStyle w:val="25"/>
            </w:pPr>
            <w:r>
              <w:t>项目名称</w:t>
            </w: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648F6EE">
            <w:pPr>
              <w:pStyle w:val="25"/>
            </w:pPr>
            <w:r>
              <w:t>服务内容</w:t>
            </w: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B58AB75">
            <w:pPr>
              <w:pStyle w:val="25"/>
            </w:pPr>
            <w:r>
              <w:t>服务期限</w:t>
            </w: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A965220">
            <w:pPr>
              <w:pStyle w:val="25"/>
            </w:pPr>
            <w:r>
              <w:t>采购人名称</w:t>
            </w:r>
          </w:p>
        </w:tc>
        <w:tc>
          <w:tcPr>
            <w:tcW w:w="79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DB89373">
            <w:pPr>
              <w:pStyle w:val="25"/>
            </w:pPr>
            <w:r>
              <w:t>联系方式</w:t>
            </w:r>
          </w:p>
        </w:tc>
      </w:tr>
      <w:tr w14:paraId="6EC3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vMerge w:val="continue"/>
            <w:tcBorders>
              <w:left w:val="single" w:color="auto" w:sz="4" w:space="0"/>
              <w:bottom w:val="single" w:color="auto" w:sz="4" w:space="0"/>
              <w:right w:val="single" w:color="auto" w:sz="4" w:space="0"/>
            </w:tcBorders>
            <w:tcMar>
              <w:top w:w="60" w:type="dxa"/>
              <w:left w:w="120" w:type="dxa"/>
              <w:bottom w:w="30" w:type="dxa"/>
              <w:right w:w="120" w:type="dxa"/>
            </w:tcMar>
          </w:tcPr>
          <w:p w14:paraId="01135E1B">
            <w:pPr>
              <w:pStyle w:val="25"/>
            </w:pP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EBDA756">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B0F8ED4">
            <w:pPr>
              <w:pStyle w:val="25"/>
            </w:pP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CB37916">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32910B8">
            <w:pPr>
              <w:pStyle w:val="25"/>
            </w:pPr>
          </w:p>
        </w:tc>
        <w:tc>
          <w:tcPr>
            <w:tcW w:w="79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BD48E14">
            <w:pPr>
              <w:pStyle w:val="25"/>
            </w:pPr>
          </w:p>
        </w:tc>
      </w:tr>
      <w:tr w14:paraId="6550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vMerge w:val="continue"/>
            <w:tcBorders>
              <w:left w:val="single" w:color="auto" w:sz="4" w:space="0"/>
              <w:bottom w:val="single" w:color="auto" w:sz="4" w:space="0"/>
              <w:right w:val="single" w:color="auto" w:sz="4" w:space="0"/>
            </w:tcBorders>
            <w:tcMar>
              <w:top w:w="60" w:type="dxa"/>
              <w:left w:w="120" w:type="dxa"/>
              <w:bottom w:w="30" w:type="dxa"/>
              <w:right w:w="120" w:type="dxa"/>
            </w:tcMar>
          </w:tcPr>
          <w:p w14:paraId="2A8ADFFF">
            <w:pPr>
              <w:pStyle w:val="25"/>
            </w:pP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0999833">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92CF6CD">
            <w:pPr>
              <w:pStyle w:val="25"/>
            </w:pP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B417EDF">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A36A603">
            <w:pPr>
              <w:pStyle w:val="25"/>
            </w:pPr>
          </w:p>
        </w:tc>
        <w:tc>
          <w:tcPr>
            <w:tcW w:w="791"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119055D">
            <w:pPr>
              <w:pStyle w:val="25"/>
            </w:pPr>
          </w:p>
        </w:tc>
      </w:tr>
      <w:tr w14:paraId="2DEB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53990F7">
            <w:pPr>
              <w:pStyle w:val="25"/>
            </w:pPr>
            <w:r>
              <w:t>获奖情况
</w:t>
            </w:r>
          </w:p>
        </w:tc>
        <w:tc>
          <w:tcPr>
            <w:tcW w:w="4161" w:type="pct"/>
            <w:gridSpan w:val="5"/>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1122546">
            <w:pPr>
              <w:pStyle w:val="25"/>
            </w:pPr>
          </w:p>
        </w:tc>
      </w:tr>
      <w:tr w14:paraId="7C0C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vMerge w:val="restart"/>
            <w:tcBorders>
              <w:top w:val="single" w:color="auto" w:sz="4" w:space="0"/>
              <w:left w:val="single" w:color="auto" w:sz="4" w:space="0"/>
              <w:right w:val="single" w:color="auto" w:sz="4" w:space="0"/>
            </w:tcBorders>
            <w:tcMar>
              <w:top w:w="60" w:type="dxa"/>
              <w:left w:w="120" w:type="dxa"/>
              <w:bottom w:w="30" w:type="dxa"/>
              <w:right w:w="120" w:type="dxa"/>
            </w:tcMar>
          </w:tcPr>
          <w:p w14:paraId="53AF50A8">
            <w:pPr>
              <w:pStyle w:val="25"/>
            </w:pPr>
            <w:r>
              <w:t>主要工作经历
</w:t>
            </w: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6C5B544">
            <w:pPr>
              <w:pStyle w:val="25"/>
            </w:pPr>
            <w:r>
              <w:t>时间</w:t>
            </w: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4FE51F0">
            <w:pPr>
              <w:pStyle w:val="25"/>
            </w:pPr>
            <w:r>
              <w:t>工作单位</w:t>
            </w: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1ACCF44">
            <w:pPr>
              <w:pStyle w:val="25"/>
            </w:pPr>
            <w:r>
              <w:t>担任职务</w:t>
            </w:r>
          </w:p>
        </w:tc>
        <w:tc>
          <w:tcPr>
            <w:tcW w:w="1633" w:type="pct"/>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4EC2280">
            <w:pPr>
              <w:pStyle w:val="25"/>
            </w:pPr>
            <w:r>
              <w:t>从事工作内容</w:t>
            </w:r>
          </w:p>
        </w:tc>
      </w:tr>
      <w:tr w14:paraId="7A71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vMerge w:val="continue"/>
            <w:tcBorders>
              <w:left w:val="single" w:color="auto" w:sz="4" w:space="0"/>
              <w:bottom w:val="single" w:color="auto" w:sz="4" w:space="0"/>
              <w:right w:val="single" w:color="auto" w:sz="4" w:space="0"/>
            </w:tcBorders>
            <w:tcMar>
              <w:top w:w="60" w:type="dxa"/>
              <w:left w:w="120" w:type="dxa"/>
              <w:bottom w:w="30" w:type="dxa"/>
              <w:right w:w="120" w:type="dxa"/>
            </w:tcMar>
          </w:tcPr>
          <w:p w14:paraId="1CEFCB4D">
            <w:pPr>
              <w:pStyle w:val="25"/>
            </w:pP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C592D85">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10542C1">
            <w:pPr>
              <w:pStyle w:val="25"/>
            </w:pP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9AAD854">
            <w:pPr>
              <w:pStyle w:val="25"/>
            </w:pPr>
          </w:p>
        </w:tc>
        <w:tc>
          <w:tcPr>
            <w:tcW w:w="1633" w:type="pct"/>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39D538B">
            <w:pPr>
              <w:pStyle w:val="25"/>
            </w:pPr>
          </w:p>
        </w:tc>
      </w:tr>
      <w:tr w14:paraId="53CD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38" w:type="pct"/>
            <w:vMerge w:val="continue"/>
            <w:tcBorders>
              <w:left w:val="single" w:color="auto" w:sz="4" w:space="0"/>
              <w:bottom w:val="single" w:color="auto" w:sz="4" w:space="0"/>
              <w:right w:val="single" w:color="auto" w:sz="4" w:space="0"/>
            </w:tcBorders>
            <w:tcMar>
              <w:top w:w="60" w:type="dxa"/>
              <w:left w:w="120" w:type="dxa"/>
              <w:bottom w:w="30" w:type="dxa"/>
              <w:right w:w="120" w:type="dxa"/>
            </w:tcMar>
          </w:tcPr>
          <w:p w14:paraId="42666BFF">
            <w:pPr>
              <w:pStyle w:val="25"/>
            </w:pPr>
          </w:p>
        </w:tc>
        <w:tc>
          <w:tcPr>
            <w:tcW w:w="903"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E7B9C4F">
            <w:pPr>
              <w:pStyle w:val="25"/>
            </w:pPr>
          </w:p>
        </w:tc>
        <w:tc>
          <w:tcPr>
            <w:tcW w:w="84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36F31AB">
            <w:pPr>
              <w:pStyle w:val="25"/>
            </w:pPr>
          </w:p>
        </w:tc>
        <w:tc>
          <w:tcPr>
            <w:tcW w:w="782" w:type="pct"/>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1CB6BD7">
            <w:pPr>
              <w:pStyle w:val="25"/>
            </w:pPr>
          </w:p>
        </w:tc>
        <w:tc>
          <w:tcPr>
            <w:tcW w:w="1633" w:type="pct"/>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5CBFD89">
            <w:pPr>
              <w:pStyle w:val="25"/>
            </w:pPr>
          </w:p>
        </w:tc>
      </w:tr>
    </w:tbl>
    <w:p w14:paraId="0DB0FEBD">
      <w:pPr>
        <w:pStyle w:val="11"/>
        <w:widowControl/>
      </w:pPr>
      <w:r>
        <w:t>附：项目负责人律师执业资格证复印件、社会保险缴纳证明复印件、相关业绩证明材料等
</w:t>
      </w:r>
    </w:p>
    <w:p w14:paraId="676B9B6E">
      <w:pPr>
        <w:rPr>
          <w:rFonts w:hint="eastAsia" w:ascii="黑体" w:hAnsi="黑体" w:eastAsia="黑体" w:cs="黑体"/>
          <w:b w:val="0"/>
        </w:rPr>
      </w:pPr>
      <w:r>
        <w:br w:type="page"/>
      </w:r>
    </w:p>
    <w:p w14:paraId="7DDB4720">
      <w:pPr>
        <w:pStyle w:val="3"/>
        <w:widowControl/>
        <w:numPr>
          <w:ilvl w:val="0"/>
          <w:numId w:val="0"/>
        </w:numPr>
        <w:topLinePunct w:val="0"/>
        <w:ind w:left="0" w:leftChars="0" w:firstLine="600" w:firstLineChars="200"/>
        <w:outlineLvl w:val="0"/>
        <w:rPr>
          <w:rFonts w:hint="eastAsia" w:ascii="黑体" w:hAnsi="黑体" w:eastAsia="黑体" w:cs="黑体"/>
          <w:b w:val="0"/>
        </w:rPr>
      </w:pPr>
      <w:bookmarkStart w:id="38" w:name="_Toc5708"/>
      <w:r>
        <w:rPr>
          <w:rFonts w:hint="eastAsia" w:ascii="黑体" w:hAnsi="黑体" w:eastAsia="黑体" w:cs="黑体"/>
          <w:b w:val="0"/>
          <w:kern w:val="2"/>
          <w:sz w:val="30"/>
          <w:szCs w:val="32"/>
          <w:lang w:bidi="ar-SA"/>
        </w:rPr>
        <w:t>五、</w:t>
      </w:r>
      <w:r>
        <w:t>近三年类似项目业绩情况表
</w:t>
      </w:r>
      <w:bookmarkEnd w:id="38"/>
    </w:p>
    <w:p w14:paraId="27298A26">
      <w:pPr>
        <w:pStyle w:val="25"/>
      </w:pP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794"/>
        <w:gridCol w:w="4470"/>
      </w:tblGrid>
      <w:tr w14:paraId="0652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53CC473B">
            <w:pPr>
              <w:pStyle w:val="25"/>
            </w:pPr>
            <w:r>
              <w:t>项目名称
</w:t>
            </w:r>
          </w:p>
        </w:tc>
        <w:tc>
          <w:tcPr>
            <w:tcW w:w="2412" w:type="pct"/>
            <w:tcMar>
              <w:top w:w="60" w:type="dxa"/>
              <w:left w:w="120" w:type="dxa"/>
              <w:bottom w:w="30" w:type="dxa"/>
              <w:right w:w="120" w:type="dxa"/>
            </w:tcMar>
          </w:tcPr>
          <w:p w14:paraId="6C4114F7">
            <w:pPr>
              <w:pStyle w:val="25"/>
            </w:pPr>
          </w:p>
        </w:tc>
      </w:tr>
      <w:tr w14:paraId="2332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0E9030FE">
            <w:pPr>
              <w:pStyle w:val="25"/>
            </w:pPr>
            <w:r>
              <w:t>项目所在地
</w:t>
            </w:r>
          </w:p>
        </w:tc>
        <w:tc>
          <w:tcPr>
            <w:tcW w:w="2412" w:type="pct"/>
            <w:tcMar>
              <w:top w:w="60" w:type="dxa"/>
              <w:left w:w="120" w:type="dxa"/>
              <w:bottom w:w="30" w:type="dxa"/>
              <w:right w:w="120" w:type="dxa"/>
            </w:tcMar>
          </w:tcPr>
          <w:p w14:paraId="04A462FA">
            <w:pPr>
              <w:pStyle w:val="25"/>
            </w:pPr>
          </w:p>
        </w:tc>
      </w:tr>
      <w:tr w14:paraId="03BC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28B28D32">
            <w:pPr>
              <w:pStyle w:val="25"/>
            </w:pPr>
            <w:r>
              <w:t>采购人名称
</w:t>
            </w:r>
          </w:p>
        </w:tc>
        <w:tc>
          <w:tcPr>
            <w:tcW w:w="2412" w:type="pct"/>
            <w:tcMar>
              <w:top w:w="60" w:type="dxa"/>
              <w:left w:w="120" w:type="dxa"/>
              <w:bottom w:w="30" w:type="dxa"/>
              <w:right w:w="120" w:type="dxa"/>
            </w:tcMar>
          </w:tcPr>
          <w:p w14:paraId="42B31271">
            <w:pPr>
              <w:pStyle w:val="25"/>
            </w:pPr>
          </w:p>
        </w:tc>
      </w:tr>
      <w:tr w14:paraId="6B85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298E2E52">
            <w:pPr>
              <w:pStyle w:val="25"/>
            </w:pPr>
            <w:r>
              <w:t>采购人地址
</w:t>
            </w:r>
          </w:p>
        </w:tc>
        <w:tc>
          <w:tcPr>
            <w:tcW w:w="2412" w:type="pct"/>
            <w:tcMar>
              <w:top w:w="60" w:type="dxa"/>
              <w:left w:w="120" w:type="dxa"/>
              <w:bottom w:w="30" w:type="dxa"/>
              <w:right w:w="120" w:type="dxa"/>
            </w:tcMar>
          </w:tcPr>
          <w:p w14:paraId="7A61AF4B">
            <w:pPr>
              <w:pStyle w:val="25"/>
            </w:pPr>
          </w:p>
        </w:tc>
      </w:tr>
      <w:tr w14:paraId="5EAF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44AE2EF4">
            <w:pPr>
              <w:pStyle w:val="25"/>
            </w:pPr>
            <w:r>
              <w:t>采购人电话
</w:t>
            </w:r>
          </w:p>
        </w:tc>
        <w:tc>
          <w:tcPr>
            <w:tcW w:w="2412" w:type="pct"/>
            <w:tcMar>
              <w:top w:w="60" w:type="dxa"/>
              <w:left w:w="120" w:type="dxa"/>
              <w:bottom w:w="30" w:type="dxa"/>
              <w:right w:w="120" w:type="dxa"/>
            </w:tcMar>
          </w:tcPr>
          <w:p w14:paraId="5CE61CFC">
            <w:pPr>
              <w:pStyle w:val="25"/>
            </w:pPr>
          </w:p>
        </w:tc>
      </w:tr>
      <w:tr w14:paraId="7409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7CB7DD71">
            <w:pPr>
              <w:pStyle w:val="25"/>
            </w:pPr>
            <w:r>
              <w:t>合同价格
</w:t>
            </w:r>
          </w:p>
        </w:tc>
        <w:tc>
          <w:tcPr>
            <w:tcW w:w="2412" w:type="pct"/>
            <w:tcMar>
              <w:top w:w="60" w:type="dxa"/>
              <w:left w:w="120" w:type="dxa"/>
              <w:bottom w:w="30" w:type="dxa"/>
              <w:right w:w="120" w:type="dxa"/>
            </w:tcMar>
          </w:tcPr>
          <w:p w14:paraId="1D1182FC">
            <w:pPr>
              <w:pStyle w:val="25"/>
            </w:pPr>
          </w:p>
        </w:tc>
      </w:tr>
      <w:tr w14:paraId="5E29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1FDBC36F">
            <w:pPr>
              <w:pStyle w:val="25"/>
            </w:pPr>
            <w:r>
              <w:t>服务内容
</w:t>
            </w:r>
          </w:p>
        </w:tc>
        <w:tc>
          <w:tcPr>
            <w:tcW w:w="2412" w:type="pct"/>
            <w:tcMar>
              <w:top w:w="60" w:type="dxa"/>
              <w:left w:w="120" w:type="dxa"/>
              <w:bottom w:w="30" w:type="dxa"/>
              <w:right w:w="120" w:type="dxa"/>
            </w:tcMar>
          </w:tcPr>
          <w:p w14:paraId="2957EE6E">
            <w:pPr>
              <w:pStyle w:val="25"/>
            </w:pPr>
          </w:p>
        </w:tc>
      </w:tr>
      <w:tr w14:paraId="60A2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6E1C5FDF">
            <w:pPr>
              <w:pStyle w:val="25"/>
            </w:pPr>
            <w:r>
              <w:t>服务期限
</w:t>
            </w:r>
          </w:p>
        </w:tc>
        <w:tc>
          <w:tcPr>
            <w:tcW w:w="2412" w:type="pct"/>
            <w:tcMar>
              <w:top w:w="60" w:type="dxa"/>
              <w:left w:w="120" w:type="dxa"/>
              <w:bottom w:w="30" w:type="dxa"/>
              <w:right w:w="120" w:type="dxa"/>
            </w:tcMar>
          </w:tcPr>
          <w:p w14:paraId="39C065C7">
            <w:pPr>
              <w:pStyle w:val="25"/>
            </w:pPr>
          </w:p>
        </w:tc>
      </w:tr>
      <w:tr w14:paraId="0AA4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3FD0AE20">
            <w:pPr>
              <w:pStyle w:val="25"/>
            </w:pPr>
            <w:r>
              <w:t>项目负责人
</w:t>
            </w:r>
          </w:p>
        </w:tc>
        <w:tc>
          <w:tcPr>
            <w:tcW w:w="2412" w:type="pct"/>
            <w:tcMar>
              <w:top w:w="60" w:type="dxa"/>
              <w:left w:w="120" w:type="dxa"/>
              <w:bottom w:w="30" w:type="dxa"/>
              <w:right w:w="120" w:type="dxa"/>
            </w:tcMar>
          </w:tcPr>
          <w:p w14:paraId="4046BDCF">
            <w:pPr>
              <w:pStyle w:val="25"/>
            </w:pPr>
          </w:p>
        </w:tc>
      </w:tr>
      <w:tr w14:paraId="115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33338BFF">
            <w:pPr>
              <w:pStyle w:val="25"/>
            </w:pPr>
            <w:r>
              <w:t>项目描述
</w:t>
            </w:r>
          </w:p>
        </w:tc>
        <w:tc>
          <w:tcPr>
            <w:tcW w:w="2412" w:type="pct"/>
            <w:tcMar>
              <w:top w:w="60" w:type="dxa"/>
              <w:left w:w="120" w:type="dxa"/>
              <w:bottom w:w="30" w:type="dxa"/>
              <w:right w:w="120" w:type="dxa"/>
            </w:tcMar>
          </w:tcPr>
          <w:p w14:paraId="09BEFFD3">
            <w:pPr>
              <w:pStyle w:val="25"/>
            </w:pPr>
          </w:p>
        </w:tc>
      </w:tr>
      <w:tr w14:paraId="51F9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87" w:type="pct"/>
            <w:tcMar>
              <w:top w:w="60" w:type="dxa"/>
              <w:left w:w="120" w:type="dxa"/>
              <w:bottom w:w="30" w:type="dxa"/>
              <w:right w:w="120" w:type="dxa"/>
            </w:tcMar>
          </w:tcPr>
          <w:p w14:paraId="086E99A5">
            <w:pPr>
              <w:pStyle w:val="25"/>
            </w:pPr>
            <w:r>
              <w:t>备注
</w:t>
            </w:r>
          </w:p>
        </w:tc>
        <w:tc>
          <w:tcPr>
            <w:tcW w:w="2412" w:type="pct"/>
            <w:tcMar>
              <w:top w:w="60" w:type="dxa"/>
              <w:left w:w="120" w:type="dxa"/>
              <w:bottom w:w="30" w:type="dxa"/>
              <w:right w:w="120" w:type="dxa"/>
            </w:tcMar>
          </w:tcPr>
          <w:p w14:paraId="402E3E75">
            <w:pPr>
              <w:pStyle w:val="25"/>
            </w:pPr>
          </w:p>
        </w:tc>
      </w:tr>
    </w:tbl>
    <w:p w14:paraId="2FDC3A73">
      <w:pPr>
        <w:pStyle w:val="11"/>
        <w:widowControl/>
      </w:pPr>
      <w:r>
        <w:t>附：合同扫描件或复印件（须包含合同双方盖章页、合同签订日期、承包内容及业绩要求关键信息等）
</w:t>
      </w:r>
    </w:p>
    <w:p w14:paraId="7CF16F54">
      <w:pPr>
        <w:pStyle w:val="3"/>
        <w:widowControl/>
        <w:numPr>
          <w:ilvl w:val="0"/>
          <w:numId w:val="19"/>
        </w:numPr>
        <w:topLinePunct w:val="0"/>
        <w:ind w:left="0" w:leftChars="0" w:firstLine="0" w:firstLineChars="0"/>
        <w:outlineLvl w:val="0"/>
        <w:rPr>
          <w:rFonts w:hint="eastAsia" w:ascii="黑体" w:hAnsi="黑体" w:eastAsia="黑体" w:cs="黑体"/>
          <w:b w:val="0"/>
        </w:rPr>
        <w:sectPr>
          <w:pgSz w:w="11906" w:h="16838"/>
          <w:pgMar w:top="1440" w:right="1440" w:bottom="1440" w:left="1440" w:header="708" w:footer="708" w:gutter="0"/>
          <w:pgNumType w:fmt="decimal"/>
          <w:cols w:space="720" w:num="1"/>
          <w:docGrid w:linePitch="360" w:charSpace="0"/>
        </w:sectPr>
      </w:pPr>
    </w:p>
    <w:p w14:paraId="01DE0EEB">
      <w:pPr>
        <w:pStyle w:val="3"/>
        <w:widowControl/>
        <w:numPr>
          <w:ilvl w:val="0"/>
          <w:numId w:val="0"/>
        </w:numPr>
        <w:topLinePunct w:val="0"/>
        <w:ind w:left="0" w:leftChars="0" w:firstLine="600" w:firstLineChars="200"/>
        <w:outlineLvl w:val="0"/>
        <w:rPr>
          <w:rFonts w:hint="eastAsia" w:ascii="黑体" w:hAnsi="黑体" w:eastAsia="黑体" w:cs="黑体"/>
          <w:b w:val="0"/>
        </w:rPr>
      </w:pPr>
      <w:bookmarkStart w:id="39" w:name="_Toc27252"/>
      <w:r>
        <w:rPr>
          <w:rFonts w:hint="eastAsia" w:ascii="黑体" w:hAnsi="黑体" w:eastAsia="黑体" w:cs="黑体"/>
          <w:b w:val="0"/>
          <w:kern w:val="2"/>
          <w:sz w:val="30"/>
          <w:szCs w:val="32"/>
          <w:lang w:bidi="ar-SA"/>
        </w:rPr>
        <w:t>六、</w:t>
      </w:r>
      <w:r>
        <w:t>服务方案
</w:t>
      </w:r>
      <w:bookmarkEnd w:id="39"/>
    </w:p>
    <w:p w14:paraId="6385707A">
      <w:pPr>
        <w:pStyle w:val="11"/>
        <w:widowControl/>
      </w:pPr>
      <w:r>
        <w:t>律师事务所应根据采购需求，详细编制合规管理体系有效性评价服务方案，包括但不限于以下内容：
</w:t>
      </w:r>
    </w:p>
    <w:p w14:paraId="4555883F">
      <w:pPr>
        <w:pStyle w:val="11"/>
        <w:widowControl/>
        <w:numPr>
          <w:ilvl w:val="0"/>
          <w:numId w:val="20"/>
        </w:numPr>
        <w:ind w:left="0" w:leftChars="0" w:firstLine="480" w:firstLineChars="0"/>
      </w:pPr>
      <w:r>
        <w:t>工作思路：阐述对本项目的理解和整体工作规划。
</w:t>
      </w:r>
    </w:p>
    <w:p w14:paraId="1DE5EC2E">
      <w:pPr>
        <w:pStyle w:val="11"/>
        <w:widowControl/>
        <w:numPr>
          <w:ilvl w:val="0"/>
          <w:numId w:val="20"/>
        </w:numPr>
        <w:ind w:left="0" w:leftChars="0" w:firstLine="480" w:firstLineChars="0"/>
      </w:pPr>
      <w:r>
        <w:t>工作方法：说明采用的评价方法、技术手段等。
</w:t>
      </w:r>
    </w:p>
    <w:p w14:paraId="585A8490">
      <w:pPr>
        <w:pStyle w:val="11"/>
        <w:widowControl/>
        <w:numPr>
          <w:ilvl w:val="0"/>
          <w:numId w:val="20"/>
        </w:numPr>
        <w:ind w:left="0" w:leftChars="0" w:firstLine="480" w:firstLineChars="0"/>
      </w:pPr>
      <w:r>
        <w:t>人员安排：列出参与本项目的律师团队成员名单、专业背景及职责分工。
</w:t>
      </w:r>
    </w:p>
    <w:p w14:paraId="3AE3B14A">
      <w:pPr>
        <w:pStyle w:val="11"/>
        <w:widowControl/>
        <w:numPr>
          <w:ilvl w:val="0"/>
          <w:numId w:val="20"/>
        </w:numPr>
        <w:ind w:left="0" w:leftChars="0" w:firstLine="480" w:firstLineChars="0"/>
      </w:pPr>
      <w:r>
        <w:t>时间计划：制定详细的工作进度计划，明确各阶段工作内容和时间节点。
</w:t>
      </w:r>
    </w:p>
    <w:p w14:paraId="46D27A6A">
      <w:pPr>
        <w:pStyle w:val="11"/>
        <w:widowControl/>
        <w:numPr>
          <w:ilvl w:val="0"/>
          <w:numId w:val="20"/>
        </w:numPr>
        <w:ind w:left="0" w:leftChars="0" w:firstLine="480" w:firstLineChars="0"/>
      </w:pPr>
      <w:r>
        <w:t>质量保证措施：提出确保评价工作质量的具体措施和方法。
</w:t>
      </w:r>
    </w:p>
    <w:p w14:paraId="47419EC8">
      <w:pPr>
        <w:pStyle w:val="11"/>
        <w:widowControl/>
        <w:numPr>
          <w:ilvl w:val="0"/>
          <w:numId w:val="20"/>
        </w:numPr>
        <w:ind w:left="0" w:leftChars="0" w:firstLine="480" w:firstLineChars="0"/>
      </w:pPr>
      <w:r>
        <w:t>风险应对措施：分析可能存在的风险，并制定相应的应对策略。
</w:t>
      </w:r>
    </w:p>
    <w:p w14:paraId="0D843A19">
      <w:pPr>
        <w:pStyle w:val="11"/>
        <w:widowControl/>
        <w:numPr>
          <w:ilvl w:val="0"/>
          <w:numId w:val="20"/>
        </w:numPr>
        <w:ind w:left="0" w:leftChars="0" w:firstLine="480" w:firstLineChars="0"/>
        <w:rPr>
          <w:rFonts w:hint="eastAsia"/>
        </w:rPr>
        <w:sectPr>
          <w:pgSz w:w="11906" w:h="16838"/>
          <w:pgMar w:top="1440" w:right="1440" w:bottom="1440" w:left="1440" w:header="708" w:footer="708" w:gutter="0"/>
          <w:pgNumType w:fmt="decimal"/>
          <w:cols w:space="720" w:num="1"/>
          <w:docGrid w:linePitch="360" w:charSpace="0"/>
        </w:sectPr>
      </w:pPr>
    </w:p>
    <w:p w14:paraId="293E1B53">
      <w:pPr>
        <w:pStyle w:val="3"/>
        <w:widowControl/>
        <w:numPr>
          <w:ilvl w:val="0"/>
          <w:numId w:val="0"/>
        </w:numPr>
        <w:topLinePunct w:val="0"/>
        <w:ind w:left="0" w:leftChars="0" w:firstLine="600" w:firstLineChars="200"/>
        <w:outlineLvl w:val="0"/>
        <w:rPr>
          <w:rFonts w:hint="eastAsia" w:ascii="黑体" w:hAnsi="黑体" w:eastAsia="黑体" w:cs="黑体"/>
          <w:b w:val="0"/>
        </w:rPr>
      </w:pPr>
      <w:bookmarkStart w:id="40" w:name="_Toc25386"/>
      <w:r>
        <w:rPr>
          <w:rFonts w:hint="eastAsia" w:ascii="黑体" w:hAnsi="黑体" w:eastAsia="黑体" w:cs="黑体"/>
          <w:b w:val="0"/>
          <w:kern w:val="2"/>
          <w:sz w:val="30"/>
          <w:szCs w:val="32"/>
          <w:lang w:bidi="ar-SA"/>
        </w:rPr>
        <w:t>七、</w:t>
      </w:r>
      <w:r>
        <w:t>信誉材料
</w:t>
      </w:r>
      <w:bookmarkEnd w:id="40"/>
    </w:p>
    <w:p w14:paraId="68BBD2D0">
      <w:pPr>
        <w:pStyle w:val="11"/>
        <w:widowControl/>
        <w:numPr>
          <w:ilvl w:val="0"/>
          <w:numId w:val="21"/>
        </w:numPr>
        <w:ind w:left="0" w:leftChars="0" w:firstLine="480" w:firstLineChars="0"/>
      </w:pPr>
      <w:r>
        <w:t>“国家企业信用信息公示系统” 信用查询记录（无严重违法失信记录）
</w:t>
      </w:r>
    </w:p>
    <w:p w14:paraId="7203B670">
      <w:pPr>
        <w:pStyle w:val="11"/>
        <w:widowControl/>
        <w:numPr>
          <w:ilvl w:val="0"/>
          <w:numId w:val="21"/>
        </w:numPr>
        <w:ind w:left="0" w:leftChars="0" w:firstLine="480" w:firstLineChars="0"/>
      </w:pPr>
      <w:r>
        <w:t>“信用中国” 网站信用查询记录（无严重失信记录）
</w:t>
      </w:r>
    </w:p>
    <w:p w14:paraId="2D515BE9">
      <w:pPr>
        <w:pStyle w:val="11"/>
        <w:widowControl/>
        <w:numPr>
          <w:ilvl w:val="0"/>
          <w:numId w:val="21"/>
        </w:numPr>
        <w:ind w:left="0" w:leftChars="0" w:firstLine="480" w:firstLineChars="0"/>
      </w:pPr>
      <w:r>
        <w:t>“全国律师执业诚信信息公示平台” 查询记录（律师事务所及拟派项目负责人无惩戒记录）
</w:t>
      </w:r>
    </w:p>
    <w:p w14:paraId="791F0BD4">
      <w:pPr>
        <w:pStyle w:val="11"/>
        <w:widowControl/>
        <w:numPr>
          <w:ilvl w:val="0"/>
          <w:numId w:val="21"/>
        </w:numPr>
        <w:ind w:left="0" w:leftChars="0" w:firstLine="480" w:firstLineChars="0"/>
      </w:pPr>
      <w:r>
        <w:t>无法查询相关信息时提供的信誉承诺书
</w:t>
      </w:r>
    </w:p>
    <w:p w14:paraId="63B2045B">
      <w:pPr>
        <w:pStyle w:val="11"/>
        <w:widowControl/>
        <w:numPr>
          <w:ilvl w:val="0"/>
          <w:numId w:val="21"/>
        </w:numPr>
        <w:ind w:left="0" w:leftChars="0" w:firstLine="480" w:firstLineChars="0"/>
        <w:rPr>
          <w:rFonts w:hint="eastAsia"/>
        </w:rPr>
        <w:sectPr>
          <w:pgSz w:w="11906" w:h="16838"/>
          <w:pgMar w:top="1440" w:right="1440" w:bottom="1440" w:left="1440" w:header="708" w:footer="708" w:gutter="0"/>
          <w:pgNumType w:fmt="decimal"/>
          <w:cols w:space="720" w:num="1"/>
          <w:docGrid w:linePitch="360" w:charSpace="0"/>
        </w:sectPr>
      </w:pPr>
    </w:p>
    <w:p w14:paraId="1831F509">
      <w:pPr>
        <w:pStyle w:val="3"/>
        <w:widowControl/>
        <w:numPr>
          <w:ilvl w:val="0"/>
          <w:numId w:val="0"/>
        </w:numPr>
        <w:topLinePunct w:val="0"/>
        <w:ind w:left="0" w:leftChars="0" w:firstLine="600" w:firstLineChars="200"/>
        <w:outlineLvl w:val="0"/>
        <w:rPr>
          <w:rFonts w:hint="eastAsia" w:ascii="黑体" w:hAnsi="黑体" w:eastAsia="黑体" w:cs="黑体"/>
          <w:b w:val="0"/>
        </w:rPr>
      </w:pPr>
      <w:bookmarkStart w:id="41" w:name="_Toc13772"/>
      <w:r>
        <w:rPr>
          <w:rFonts w:hint="eastAsia" w:ascii="黑体" w:hAnsi="黑体" w:eastAsia="黑体" w:cs="黑体"/>
          <w:b w:val="0"/>
          <w:kern w:val="2"/>
          <w:sz w:val="30"/>
          <w:szCs w:val="32"/>
          <w:lang w:bidi="ar-SA"/>
        </w:rPr>
        <w:t>八、</w:t>
      </w:r>
      <w:r>
        <w:t>其他材料
</w:t>
      </w:r>
      <w:bookmarkEnd w:id="41"/>
    </w:p>
    <w:p w14:paraId="0E29EDA7">
      <w:pPr>
        <w:pStyle w:val="11"/>
        <w:widowControl/>
      </w:pPr>
      <w:r>
        <w:t>律师事务所认为需要提供的其他资料，如荣誉证书、相关资质证书等。
</w:t>
      </w:r>
    </w:p>
    <w:sectPr>
      <w:pgSz w:w="11906" w:h="16838"/>
      <w:pgMar w:top="1440" w:right="1440" w:bottom="1440" w:left="144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495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D33AA">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D33A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374A"/>
    <w:multiLevelType w:val="singleLevel"/>
    <w:tmpl w:val="82C3374A"/>
    <w:lvl w:ilvl="0" w:tentative="0">
      <w:start w:val="0"/>
      <w:numFmt w:val="decimal"/>
      <w:suff w:val="space"/>
      <w:lvlText w:val=""/>
      <w:lvlJc w:val="left"/>
      <w:pPr>
        <w:ind w:left="0" w:firstLine="480"/>
      </w:pPr>
      <w:rPr>
        <w:rFonts w:hint="default"/>
      </w:rPr>
    </w:lvl>
  </w:abstractNum>
  <w:abstractNum w:abstractNumId="1">
    <w:nsid w:val="C54AE36E"/>
    <w:multiLevelType w:val="singleLevel"/>
    <w:tmpl w:val="C54AE36E"/>
    <w:lvl w:ilvl="0" w:tentative="0">
      <w:start w:val="1"/>
      <w:numFmt w:val="chineseCounting"/>
      <w:suff w:val="nothing"/>
      <w:lvlText w:val="%1、"/>
      <w:lvlJc w:val="left"/>
      <w:pPr>
        <w:ind w:left="0" w:firstLine="0"/>
      </w:pPr>
      <w:rPr>
        <w:rFonts w:hint="eastAsia"/>
      </w:rPr>
    </w:lvl>
  </w:abstractNum>
  <w:abstractNum w:abstractNumId="2">
    <w:nsid w:val="DD121A58"/>
    <w:multiLevelType w:val="singleLevel"/>
    <w:tmpl w:val="DD121A58"/>
    <w:lvl w:ilvl="0" w:tentative="0">
      <w:start w:val="0"/>
      <w:numFmt w:val="decimal"/>
      <w:suff w:val="space"/>
      <w:lvlText w:val=""/>
      <w:lvlJc w:val="left"/>
      <w:pPr>
        <w:ind w:left="0" w:firstLine="480"/>
      </w:pPr>
      <w:rPr>
        <w:rFonts w:hint="default"/>
      </w:rPr>
    </w:lvl>
  </w:abstractNum>
  <w:abstractNum w:abstractNumId="3">
    <w:nsid w:val="DDBFD272"/>
    <w:multiLevelType w:val="singleLevel"/>
    <w:tmpl w:val="DDBFD272"/>
    <w:lvl w:ilvl="0" w:tentative="0">
      <w:start w:val="1"/>
      <w:numFmt w:val="chineseCounting"/>
      <w:suff w:val="nothing"/>
      <w:lvlText w:val="%1、"/>
      <w:lvlJc w:val="left"/>
      <w:pPr>
        <w:ind w:left="0" w:firstLine="420"/>
      </w:pPr>
      <w:rPr>
        <w:rFonts w:hint="eastAsia"/>
      </w:rPr>
    </w:lvl>
  </w:abstractNum>
  <w:abstractNum w:abstractNumId="4">
    <w:nsid w:val="DDD6DB5D"/>
    <w:multiLevelType w:val="singleLevel"/>
    <w:tmpl w:val="DDD6DB5D"/>
    <w:lvl w:ilvl="0" w:tentative="0">
      <w:start w:val="0"/>
      <w:numFmt w:val="decimal"/>
      <w:suff w:val="space"/>
      <w:lvlText w:val=""/>
      <w:lvlJc w:val="left"/>
      <w:pPr>
        <w:ind w:left="0" w:firstLine="480"/>
      </w:pPr>
      <w:rPr>
        <w:rFonts w:hint="default"/>
      </w:rPr>
    </w:lvl>
  </w:abstractNum>
  <w:abstractNum w:abstractNumId="5">
    <w:nsid w:val="DFDFFA77"/>
    <w:multiLevelType w:val="singleLevel"/>
    <w:tmpl w:val="DFDFFA77"/>
    <w:lvl w:ilvl="0" w:tentative="0">
      <w:start w:val="1"/>
      <w:numFmt w:val="chineseCounting"/>
      <w:suff w:val="nothing"/>
      <w:lvlText w:val="%1、"/>
      <w:lvlJc w:val="left"/>
      <w:pPr>
        <w:ind w:left="0" w:firstLine="420"/>
      </w:pPr>
      <w:rPr>
        <w:rFonts w:hint="eastAsia"/>
      </w:rPr>
    </w:lvl>
  </w:abstractNum>
  <w:abstractNum w:abstractNumId="6">
    <w:nsid w:val="E56FA698"/>
    <w:multiLevelType w:val="singleLevel"/>
    <w:tmpl w:val="E56FA698"/>
    <w:lvl w:ilvl="0" w:tentative="0">
      <w:start w:val="1"/>
      <w:numFmt w:val="chineseCounting"/>
      <w:suff w:val="nothing"/>
      <w:lvlText w:val="%1、"/>
      <w:lvlJc w:val="left"/>
      <w:pPr>
        <w:ind w:left="0" w:firstLine="420"/>
      </w:pPr>
      <w:rPr>
        <w:rFonts w:hint="eastAsia"/>
      </w:rPr>
    </w:lvl>
  </w:abstractNum>
  <w:abstractNum w:abstractNumId="7">
    <w:nsid w:val="EB7E9C6B"/>
    <w:multiLevelType w:val="singleLevel"/>
    <w:tmpl w:val="EB7E9C6B"/>
    <w:lvl w:ilvl="0" w:tentative="0">
      <w:start w:val="1"/>
      <w:numFmt w:val="decimal"/>
      <w:lvlText w:val="%1."/>
      <w:lvlJc w:val="left"/>
      <w:pPr>
        <w:tabs>
          <w:tab w:val="left" w:pos="840"/>
        </w:tabs>
        <w:ind w:left="1265" w:hanging="425"/>
      </w:pPr>
      <w:rPr>
        <w:rFonts w:hint="default"/>
      </w:rPr>
    </w:lvl>
  </w:abstractNum>
  <w:abstractNum w:abstractNumId="8">
    <w:nsid w:val="EDBFEBFD"/>
    <w:multiLevelType w:val="singleLevel"/>
    <w:tmpl w:val="EDBFEBFD"/>
    <w:lvl w:ilvl="0" w:tentative="0">
      <w:start w:val="0"/>
      <w:numFmt w:val="decimal"/>
      <w:suff w:val="space"/>
      <w:lvlText w:val=""/>
      <w:lvlJc w:val="left"/>
      <w:pPr>
        <w:ind w:left="0" w:firstLine="480"/>
      </w:pPr>
      <w:rPr>
        <w:rFonts w:hint="default"/>
      </w:rPr>
    </w:lvl>
  </w:abstractNum>
  <w:abstractNum w:abstractNumId="9">
    <w:nsid w:val="EDF69082"/>
    <w:multiLevelType w:val="singleLevel"/>
    <w:tmpl w:val="EDF69082"/>
    <w:lvl w:ilvl="0" w:tentative="0">
      <w:start w:val="1"/>
      <w:numFmt w:val="chineseCounting"/>
      <w:suff w:val="nothing"/>
      <w:lvlText w:val="%1、"/>
      <w:lvlJc w:val="left"/>
      <w:pPr>
        <w:ind w:left="0" w:firstLine="420"/>
      </w:pPr>
      <w:rPr>
        <w:rFonts w:hint="eastAsia"/>
      </w:rPr>
    </w:lvl>
  </w:abstractNum>
  <w:abstractNum w:abstractNumId="10">
    <w:nsid w:val="06F95BFE"/>
    <w:multiLevelType w:val="singleLevel"/>
    <w:tmpl w:val="06F95BFE"/>
    <w:lvl w:ilvl="0" w:tentative="0">
      <w:start w:val="1"/>
      <w:numFmt w:val="decimal"/>
      <w:suff w:val="space"/>
      <w:lvlText w:val="%1."/>
      <w:lvlJc w:val="left"/>
      <w:pPr>
        <w:ind w:left="0" w:firstLine="480"/>
      </w:pPr>
      <w:rPr>
        <w:rFonts w:hint="default"/>
      </w:rPr>
    </w:lvl>
  </w:abstractNum>
  <w:abstractNum w:abstractNumId="11">
    <w:nsid w:val="08304960"/>
    <w:multiLevelType w:val="singleLevel"/>
    <w:tmpl w:val="08304960"/>
    <w:lvl w:ilvl="0" w:tentative="0">
      <w:start w:val="0"/>
      <w:numFmt w:val="decimal"/>
      <w:suff w:val="space"/>
      <w:lvlText w:val=""/>
      <w:lvlJc w:val="left"/>
      <w:pPr>
        <w:ind w:left="0" w:firstLine="480"/>
      </w:pPr>
      <w:rPr>
        <w:rFonts w:hint="default"/>
      </w:rPr>
    </w:lvl>
  </w:abstractNum>
  <w:abstractNum w:abstractNumId="12">
    <w:nsid w:val="0A0D24FE"/>
    <w:multiLevelType w:val="singleLevel"/>
    <w:tmpl w:val="0A0D24FE"/>
    <w:lvl w:ilvl="0" w:tentative="0">
      <w:start w:val="1"/>
      <w:numFmt w:val="decimal"/>
      <w:suff w:val="space"/>
      <w:lvlText w:val="%1."/>
      <w:lvlJc w:val="left"/>
      <w:pPr>
        <w:ind w:left="0" w:firstLine="480"/>
      </w:pPr>
      <w:rPr>
        <w:rFonts w:hint="default"/>
      </w:rPr>
    </w:lvl>
  </w:abstractNum>
  <w:abstractNum w:abstractNumId="13">
    <w:nsid w:val="0EB1C3CA"/>
    <w:multiLevelType w:val="singleLevel"/>
    <w:tmpl w:val="0EB1C3CA"/>
    <w:lvl w:ilvl="0" w:tentative="0">
      <w:start w:val="0"/>
      <w:numFmt w:val="decimal"/>
      <w:suff w:val="space"/>
      <w:lvlText w:val=""/>
      <w:lvlJc w:val="left"/>
      <w:pPr>
        <w:ind w:left="0" w:firstLine="480"/>
      </w:pPr>
      <w:rPr>
        <w:rFonts w:hint="default"/>
      </w:rPr>
    </w:lvl>
  </w:abstractNum>
  <w:abstractNum w:abstractNumId="14">
    <w:nsid w:val="189EDFB4"/>
    <w:multiLevelType w:val="singleLevel"/>
    <w:tmpl w:val="189EDFB4"/>
    <w:lvl w:ilvl="0" w:tentative="0">
      <w:start w:val="0"/>
      <w:numFmt w:val="decimal"/>
      <w:suff w:val="space"/>
      <w:lvlText w:val=""/>
      <w:lvlJc w:val="left"/>
      <w:pPr>
        <w:ind w:left="0" w:firstLine="480"/>
      </w:pPr>
      <w:rPr>
        <w:rFonts w:hint="default"/>
      </w:rPr>
    </w:lvl>
  </w:abstractNum>
  <w:abstractNum w:abstractNumId="15">
    <w:nsid w:val="23F2B605"/>
    <w:multiLevelType w:val="singleLevel"/>
    <w:tmpl w:val="23F2B605"/>
    <w:lvl w:ilvl="0" w:tentative="0">
      <w:start w:val="0"/>
      <w:numFmt w:val="decimal"/>
      <w:suff w:val="space"/>
      <w:lvlText w:val=""/>
      <w:lvlJc w:val="left"/>
      <w:pPr>
        <w:ind w:left="0" w:firstLine="480"/>
      </w:pPr>
      <w:rPr>
        <w:rFonts w:hint="default"/>
      </w:rPr>
    </w:lvl>
  </w:abstractNum>
  <w:abstractNum w:abstractNumId="16">
    <w:nsid w:val="34134EAA"/>
    <w:multiLevelType w:val="singleLevel"/>
    <w:tmpl w:val="34134EAA"/>
    <w:lvl w:ilvl="0" w:tentative="0">
      <w:start w:val="0"/>
      <w:numFmt w:val="decimal"/>
      <w:suff w:val="space"/>
      <w:lvlText w:val=""/>
      <w:lvlJc w:val="left"/>
      <w:pPr>
        <w:ind w:left="0" w:firstLine="480"/>
      </w:pPr>
      <w:rPr>
        <w:rFonts w:hint="default"/>
      </w:rPr>
    </w:lvl>
  </w:abstractNum>
  <w:abstractNum w:abstractNumId="17">
    <w:nsid w:val="48B6CD0D"/>
    <w:multiLevelType w:val="singleLevel"/>
    <w:tmpl w:val="48B6CD0D"/>
    <w:lvl w:ilvl="0" w:tentative="0">
      <w:start w:val="0"/>
      <w:numFmt w:val="decimal"/>
      <w:suff w:val="space"/>
      <w:lvlText w:val=""/>
      <w:lvlJc w:val="left"/>
      <w:pPr>
        <w:ind w:left="0" w:firstLine="480"/>
      </w:pPr>
      <w:rPr>
        <w:rFonts w:hint="default"/>
      </w:rPr>
    </w:lvl>
  </w:abstractNum>
  <w:abstractNum w:abstractNumId="18">
    <w:nsid w:val="49489B0D"/>
    <w:multiLevelType w:val="singleLevel"/>
    <w:tmpl w:val="49489B0D"/>
    <w:lvl w:ilvl="0" w:tentative="0">
      <w:start w:val="1"/>
      <w:numFmt w:val="chineseCounting"/>
      <w:suff w:val="nothing"/>
      <w:lvlText w:val="%1、"/>
      <w:lvlJc w:val="left"/>
      <w:rPr>
        <w:rFonts w:hint="eastAsia"/>
        <w:color w:val="auto"/>
      </w:rPr>
    </w:lvl>
  </w:abstractNum>
  <w:abstractNum w:abstractNumId="19">
    <w:nsid w:val="70FD45F8"/>
    <w:multiLevelType w:val="singleLevel"/>
    <w:tmpl w:val="70FD45F8"/>
    <w:lvl w:ilvl="0" w:tentative="0">
      <w:start w:val="0"/>
      <w:numFmt w:val="decimal"/>
      <w:suff w:val="space"/>
      <w:lvlText w:val=""/>
      <w:lvlJc w:val="left"/>
      <w:pPr>
        <w:ind w:left="0" w:firstLine="480"/>
      </w:pPr>
      <w:rPr>
        <w:rFonts w:hint="default"/>
      </w:rPr>
    </w:lvl>
  </w:abstractNum>
  <w:abstractNum w:abstractNumId="20">
    <w:nsid w:val="73976123"/>
    <w:multiLevelType w:val="singleLevel"/>
    <w:tmpl w:val="73976123"/>
    <w:lvl w:ilvl="0" w:tentative="0">
      <w:start w:val="1"/>
      <w:numFmt w:val="chineseCounting"/>
      <w:suff w:val="nothing"/>
      <w:lvlText w:val="%1、"/>
      <w:lvlJc w:val="left"/>
      <w:pPr>
        <w:ind w:left="0" w:firstLine="420"/>
      </w:pPr>
      <w:rPr>
        <w:rFonts w:hint="eastAsia"/>
      </w:rPr>
    </w:lvl>
  </w:abstractNum>
  <w:num w:numId="1">
    <w:abstractNumId w:val="11"/>
  </w:num>
  <w:num w:numId="2">
    <w:abstractNumId w:val="2"/>
  </w:num>
  <w:num w:numId="3">
    <w:abstractNumId w:val="4"/>
  </w:num>
  <w:num w:numId="4">
    <w:abstractNumId w:val="13"/>
  </w:num>
  <w:num w:numId="5">
    <w:abstractNumId w:val="15"/>
  </w:num>
  <w:num w:numId="6">
    <w:abstractNumId w:val="16"/>
  </w:num>
  <w:num w:numId="7">
    <w:abstractNumId w:val="0"/>
  </w:num>
  <w:num w:numId="8">
    <w:abstractNumId w:val="17"/>
  </w:num>
  <w:num w:numId="9">
    <w:abstractNumId w:val="8"/>
  </w:num>
  <w:num w:numId="10">
    <w:abstractNumId w:val="14"/>
  </w:num>
  <w:num w:numId="11">
    <w:abstractNumId w:val="19"/>
  </w:num>
  <w:num w:numId="12">
    <w:abstractNumId w:val="18"/>
  </w:num>
  <w:num w:numId="13">
    <w:abstractNumId w:val="7"/>
  </w:num>
  <w:num w:numId="14">
    <w:abstractNumId w:val="3"/>
  </w:num>
  <w:num w:numId="15">
    <w:abstractNumId w:val="20"/>
  </w:num>
  <w:num w:numId="16">
    <w:abstractNumId w:val="6"/>
  </w:num>
  <w:num w:numId="17">
    <w:abstractNumId w:val="5"/>
  </w:num>
  <w:num w:numId="18">
    <w:abstractNumId w:val="9"/>
  </w:num>
  <w:num w:numId="19">
    <w:abstractNumId w:val="1"/>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0A080810"/>
    <w:rsid w:val="0FC246B3"/>
    <w:rsid w:val="15B83632"/>
    <w:rsid w:val="186A3E0E"/>
    <w:rsid w:val="1E1E2D96"/>
    <w:rsid w:val="28BE5CD7"/>
    <w:rsid w:val="2EFC6BF4"/>
    <w:rsid w:val="3DC52C85"/>
    <w:rsid w:val="4D933964"/>
    <w:rsid w:val="50495B3F"/>
    <w:rsid w:val="5A152DC8"/>
    <w:rsid w:val="5A5011B5"/>
    <w:rsid w:val="5B6D0B23"/>
    <w:rsid w:val="5D874C9E"/>
    <w:rsid w:val="5E350443"/>
    <w:rsid w:val="645D07DE"/>
    <w:rsid w:val="6C295592"/>
    <w:rsid w:val="73D32C53"/>
    <w:rsid w:val="74485A21"/>
    <w:rsid w:val="7F1E0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basedOn w:val="1"/>
    <w:next w:val="1"/>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6">
    <w:name w:val="footnote text"/>
    <w:link w:val="24"/>
    <w:semiHidden/>
    <w:unhideWhenUsed/>
    <w:qFormat/>
    <w:uiPriority w:val="99"/>
    <w:pPr>
      <w:spacing w:after="0" w:line="240" w:lineRule="auto"/>
    </w:pPr>
    <w:rPr>
      <w:rFonts w:ascii="Times New Roman" w:hAnsi="Times New Roman" w:eastAsia="宋体" w:cs="Times New Roman"/>
      <w:sz w:val="20"/>
      <w:szCs w:val="20"/>
    </w:rPr>
  </w:style>
  <w:style w:type="paragraph" w:styleId="17">
    <w:name w:val="toc 2"/>
    <w:basedOn w:val="1"/>
    <w:next w:val="1"/>
    <w:qFormat/>
    <w:uiPriority w:val="0"/>
    <w:pPr>
      <w:ind w:left="420" w:leftChars="200"/>
    </w:pPr>
  </w:style>
  <w:style w:type="paragraph" w:styleId="18">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21">
    <w:name w:val="Hyperlink"/>
    <w:unhideWhenUsed/>
    <w:qFormat/>
    <w:uiPriority w:val="99"/>
    <w:rPr>
      <w:color w:val="0563C1"/>
      <w:u w:val="single"/>
    </w:rPr>
  </w:style>
  <w:style w:type="character" w:styleId="22">
    <w:name w:val="footnote reference"/>
    <w:semiHidden/>
    <w:unhideWhenUsed/>
    <w:qFormat/>
    <w:uiPriority w:val="99"/>
    <w:rPr>
      <w:vertAlign w:val="superscript"/>
    </w:rPr>
  </w:style>
  <w:style w:type="paragraph" w:styleId="23">
    <w:name w:val="List Paragraph"/>
    <w:qFormat/>
    <w:uiPriority w:val="0"/>
    <w:rPr>
      <w:rFonts w:ascii="Times New Roman" w:hAnsi="Times New Roman" w:eastAsia="宋体" w:cs="Times New Roman"/>
      <w:sz w:val="21"/>
      <w:szCs w:val="22"/>
    </w:rPr>
  </w:style>
  <w:style w:type="character" w:customStyle="1" w:styleId="24">
    <w:name w:val="Footnote Text Char"/>
    <w:link w:val="16"/>
    <w:semiHidden/>
    <w:unhideWhenUsed/>
    <w:qFormat/>
    <w:uiPriority w:val="99"/>
    <w:rPr>
      <w:sz w:val="20"/>
      <w:szCs w:val="20"/>
    </w:rPr>
  </w:style>
  <w:style w:type="paragraph" w:customStyle="1" w:styleId="25">
    <w:name w:val="_Style 13"/>
    <w:qFormat/>
    <w:uiPriority w:val="0"/>
    <w:pPr>
      <w:spacing w:before="120" w:after="120" w:line="288" w:lineRule="auto"/>
      <w:ind w:left="0"/>
      <w:jc w:val="left"/>
    </w:pPr>
    <w:rPr>
      <w:rFonts w:ascii="Arial" w:hAnsi="Arial" w:eastAsia="等线" w:cs="Arial"/>
      <w:sz w:val="22"/>
      <w:szCs w:val="22"/>
    </w:rPr>
  </w:style>
  <w:style w:type="paragraph" w:customStyle="1" w:styleId="26">
    <w:name w:val="_Style 14"/>
    <w:qFormat/>
    <w:uiPriority w:val="0"/>
    <w:pPr>
      <w:spacing w:before="120" w:after="120" w:line="288" w:lineRule="auto"/>
      <w:ind w:left="0"/>
      <w:jc w:val="left"/>
    </w:pPr>
    <w:rPr>
      <w:rFonts w:ascii="Arial" w:hAnsi="Arial" w:eastAsia="等线" w:cs="Arial"/>
      <w:color w:val="8F959E"/>
      <w:sz w:val="22"/>
      <w:szCs w:val="22"/>
    </w:rPr>
  </w:style>
  <w:style w:type="paragraph" w:customStyle="1" w:styleId="27">
    <w:name w:val="文档说明标题"/>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
      <w:sz w:val="52"/>
      <w:szCs w:val="5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6865</Words>
  <Characters>6963</Characters>
  <TotalTime>31</TotalTime>
  <ScaleCrop>false</ScaleCrop>
  <LinksUpToDate>false</LinksUpToDate>
  <CharactersWithSpaces>7126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2025-06-15T13:26:00Z</dcterms:created>
  <dc:creator>Un-named</dc:creator>
  <cp:lastModifiedBy>任丽媛</cp:lastModifiedBy>
  <cp:lastPrinted>2025-06-25T02:22:00Z</cp:lastPrinted>
  <dcterms:modified xsi:type="dcterms:W3CDTF">2025-06-26T09:38:53Z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eyJoZGlkIjoiZTgwZTljMTYzMGFhY2E5ZDZhMGZhYmIxZDA0ZjFhNzciLCJ1c2VySWQiOiI0ODkyODc3OTcifQ==</vt:lpwstr>
  </property>
  <property fmtid="{D5CDD505-2E9C-101B-9397-08002B2CF9AE}" pid="3" name="KSOProductBuildVer">
    <vt:lpwstr>2052-12.1.0.21541</vt:lpwstr>
  </property>
  <property fmtid="{D5CDD505-2E9C-101B-9397-08002B2CF9AE}" pid="4" name="ICV">
    <vt:lpwstr>97BD2101920E46F28302B8FD88E9D9DB_13</vt:lpwstr>
  </property>
</Properties>
</file>